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ajorHAnsi" w:hAnsiTheme="majorHAnsi" w:cstheme="majorHAnsi"/>
          <w:b/>
          <w:u w:val="single"/>
        </w:rPr>
      </w:pPr>
      <w:bookmarkStart w:id="0" w:name="_GoBack"/>
      <w:bookmarkEnd w:id="0"/>
      <w:r>
        <w:rPr>
          <w:rFonts w:asciiTheme="majorHAnsi" w:hAnsiTheme="majorHAnsi" w:cstheme="majorHAnsi"/>
          <w:b/>
          <w:u w:val="single"/>
        </w:rPr>
        <w:t xml:space="preserve">WHAT EVERY BUSINESS NEEDS TO KNOW ABOUT THE </w:t>
      </w:r>
      <w:proofErr w:type="spellStart"/>
      <w:r>
        <w:rPr>
          <w:rFonts w:asciiTheme="majorHAnsi" w:hAnsiTheme="majorHAnsi" w:cstheme="majorHAnsi"/>
          <w:b/>
          <w:u w:val="single"/>
        </w:rPr>
        <w:t>TCPA</w:t>
      </w:r>
      <w:proofErr w:type="spellEnd"/>
    </w:p>
    <w:p>
      <w:pPr>
        <w:jc w:val="center"/>
        <w:rPr>
          <w:rFonts w:asciiTheme="majorHAnsi" w:hAnsiTheme="majorHAnsi" w:cstheme="majorHAnsi"/>
          <w:i/>
        </w:rPr>
      </w:pPr>
      <w:r>
        <w:rPr>
          <w:rFonts w:asciiTheme="majorHAnsi" w:hAnsiTheme="majorHAnsi" w:cstheme="majorHAnsi"/>
          <w:i/>
        </w:rPr>
        <w:t xml:space="preserve">Gerald E. </w:t>
      </w:r>
      <w:proofErr w:type="spellStart"/>
      <w:r>
        <w:rPr>
          <w:rFonts w:asciiTheme="majorHAnsi" w:hAnsiTheme="majorHAnsi" w:cstheme="majorHAnsi"/>
          <w:i/>
        </w:rPr>
        <w:t>Arth</w:t>
      </w:r>
      <w:proofErr w:type="spellEnd"/>
      <w:r>
        <w:rPr>
          <w:rFonts w:asciiTheme="majorHAnsi" w:hAnsiTheme="majorHAnsi" w:cstheme="majorHAnsi"/>
          <w:i/>
        </w:rPr>
        <w:t xml:space="preserve">, Esquire and Steven J. </w:t>
      </w:r>
      <w:proofErr w:type="spellStart"/>
      <w:r>
        <w:rPr>
          <w:rFonts w:asciiTheme="majorHAnsi" w:hAnsiTheme="majorHAnsi" w:cstheme="majorHAnsi"/>
          <w:i/>
        </w:rPr>
        <w:t>Daroci</w:t>
      </w:r>
      <w:proofErr w:type="spellEnd"/>
      <w:r>
        <w:rPr>
          <w:rFonts w:asciiTheme="majorHAnsi" w:hAnsiTheme="majorHAnsi" w:cstheme="majorHAnsi"/>
          <w:i/>
        </w:rPr>
        <w:t>, Esquire</w:t>
      </w:r>
      <w:r>
        <w:rPr>
          <w:rStyle w:val="FootnoteReference"/>
          <w:rFonts w:asciiTheme="majorHAnsi" w:hAnsiTheme="majorHAnsi" w:cstheme="majorHAnsi"/>
          <w:i/>
        </w:rPr>
        <w:footnoteReference w:id="1"/>
      </w:r>
    </w:p>
    <w:p>
      <w:pPr>
        <w:spacing w:after="0" w:line="480" w:lineRule="auto"/>
        <w:rPr>
          <w:rFonts w:asciiTheme="majorHAnsi" w:hAnsiTheme="majorHAnsi" w:cstheme="majorHAnsi"/>
        </w:rPr>
      </w:pPr>
      <w:r>
        <w:rPr>
          <w:rFonts w:asciiTheme="majorHAnsi" w:hAnsiTheme="majorHAnsi" w:cstheme="majorHAnsi"/>
        </w:rPr>
        <w:tab/>
        <w:t>A statute originally enacted by Congress in 1991 to mitigate the perceived scourge of unwanted telemarketing calls and to avoid expensive charges to users of cellular telephones has, 25 years later, morphed into a tool for entrepreneurial plaintiffs’ counsel to extract settlements by threatening to saddle businesses both large and small with potentially ruinous liability, either through individual suits or by class actions.  The Telephone Consumer Protection Act of 1991 (“</w:t>
      </w:r>
      <w:proofErr w:type="spellStart"/>
      <w:r>
        <w:rPr>
          <w:rFonts w:asciiTheme="majorHAnsi" w:hAnsiTheme="majorHAnsi" w:cstheme="majorHAnsi"/>
        </w:rPr>
        <w:t>TCPA</w:t>
      </w:r>
      <w:proofErr w:type="spellEnd"/>
      <w:r>
        <w:rPr>
          <w:rFonts w:asciiTheme="majorHAnsi" w:hAnsiTheme="majorHAnsi" w:cstheme="majorHAnsi"/>
        </w:rPr>
        <w:t xml:space="preserve">”), 47 </w:t>
      </w:r>
      <w:proofErr w:type="spellStart"/>
      <w:r>
        <w:rPr>
          <w:rFonts w:asciiTheme="majorHAnsi" w:hAnsiTheme="majorHAnsi" w:cstheme="majorHAnsi"/>
        </w:rPr>
        <w:t>U.S.C</w:t>
      </w:r>
      <w:proofErr w:type="spellEnd"/>
      <w:r>
        <w:rPr>
          <w:rFonts w:asciiTheme="majorHAnsi" w:hAnsiTheme="majorHAnsi" w:cstheme="majorHAnsi"/>
        </w:rPr>
        <w:t xml:space="preserve">. § 227, and regulations promulgated by the Federal Communications Commission (“FCC”), the agency tasked with overseeing it, can present a myriad of traps for the unwary business.  Successfully navigating those pitfalls is critical, especially since the uncapped liability for </w:t>
      </w:r>
      <w:proofErr w:type="spellStart"/>
      <w:r>
        <w:rPr>
          <w:rFonts w:asciiTheme="majorHAnsi" w:hAnsiTheme="majorHAnsi" w:cstheme="majorHAnsi"/>
        </w:rPr>
        <w:t>TCPA</w:t>
      </w:r>
      <w:proofErr w:type="spellEnd"/>
      <w:r>
        <w:rPr>
          <w:rFonts w:asciiTheme="majorHAnsi" w:hAnsiTheme="majorHAnsi" w:cstheme="majorHAnsi"/>
        </w:rPr>
        <w:t xml:space="preserve"> claims is generally not covered by most business insurance policies.  Businesses and the lawyers who counsel them must therefore educate themselves about the </w:t>
      </w:r>
      <w:proofErr w:type="spellStart"/>
      <w:r>
        <w:rPr>
          <w:rFonts w:asciiTheme="majorHAnsi" w:hAnsiTheme="majorHAnsi" w:cstheme="majorHAnsi"/>
        </w:rPr>
        <w:t>TCPA</w:t>
      </w:r>
      <w:proofErr w:type="spellEnd"/>
      <w:r>
        <w:rPr>
          <w:rFonts w:asciiTheme="majorHAnsi" w:hAnsiTheme="majorHAnsi" w:cstheme="majorHAnsi"/>
        </w:rPr>
        <w:t xml:space="preserve"> and how to avoid the severe consequences that can come with non-compliance.</w:t>
      </w:r>
    </w:p>
    <w:p>
      <w:pPr>
        <w:spacing w:after="0" w:line="480" w:lineRule="auto"/>
        <w:ind w:firstLine="720"/>
        <w:rPr>
          <w:rFonts w:asciiTheme="majorHAnsi" w:hAnsiTheme="majorHAnsi" w:cstheme="majorHAnsi"/>
        </w:rPr>
      </w:pPr>
      <w:r>
        <w:rPr>
          <w:rFonts w:asciiTheme="majorHAnsi" w:hAnsiTheme="majorHAnsi" w:cstheme="majorHAnsi"/>
        </w:rPr>
        <w:t xml:space="preserve">Businesses need to be keenly aware of the potentially devastating impact that violations of the </w:t>
      </w:r>
      <w:proofErr w:type="spellStart"/>
      <w:r>
        <w:rPr>
          <w:rFonts w:asciiTheme="majorHAnsi" w:hAnsiTheme="majorHAnsi" w:cstheme="majorHAnsi"/>
        </w:rPr>
        <w:t>TCPA</w:t>
      </w:r>
      <w:proofErr w:type="spellEnd"/>
      <w:r>
        <w:rPr>
          <w:rFonts w:asciiTheme="majorHAnsi" w:hAnsiTheme="majorHAnsi" w:cstheme="majorHAnsi"/>
        </w:rPr>
        <w:t xml:space="preserve"> can have.  The </w:t>
      </w:r>
      <w:proofErr w:type="spellStart"/>
      <w:r>
        <w:rPr>
          <w:rFonts w:asciiTheme="majorHAnsi" w:hAnsiTheme="majorHAnsi" w:cstheme="majorHAnsi"/>
        </w:rPr>
        <w:t>TCPA</w:t>
      </w:r>
      <w:proofErr w:type="spellEnd"/>
      <w:r>
        <w:rPr>
          <w:rFonts w:asciiTheme="majorHAnsi" w:hAnsiTheme="majorHAnsi" w:cstheme="majorHAnsi"/>
        </w:rPr>
        <w:t xml:space="preserve"> places strict limits on a company’s ability to use landline or cell phones, SMS text messages, and faxes to engage in direct marketing, advertising and other activities absent a recipient’s prior express consent (though in the case of a faxing, an existing business relationship may permit it if FCC-prescribed opt-out language is included).  Notably, the </w:t>
      </w:r>
      <w:proofErr w:type="spellStart"/>
      <w:r>
        <w:rPr>
          <w:rFonts w:asciiTheme="majorHAnsi" w:hAnsiTheme="majorHAnsi" w:cstheme="majorHAnsi"/>
        </w:rPr>
        <w:t>TCPA</w:t>
      </w:r>
      <w:proofErr w:type="spellEnd"/>
      <w:r>
        <w:rPr>
          <w:rFonts w:asciiTheme="majorHAnsi" w:hAnsiTheme="majorHAnsi" w:cstheme="majorHAnsi"/>
        </w:rPr>
        <w:t xml:space="preserve"> provides for damages of between $500 and $1,500 for each violation.  While this might render individual claims fairly easy to remedy, in recent years plaintiffs’ attorneys have taken advantage of the </w:t>
      </w:r>
      <w:proofErr w:type="spellStart"/>
      <w:r>
        <w:rPr>
          <w:rFonts w:asciiTheme="majorHAnsi" w:hAnsiTheme="majorHAnsi" w:cstheme="majorHAnsi"/>
        </w:rPr>
        <w:t>TCPA’s</w:t>
      </w:r>
      <w:proofErr w:type="spellEnd"/>
      <w:r>
        <w:rPr>
          <w:rFonts w:asciiTheme="majorHAnsi" w:hAnsiTheme="majorHAnsi" w:cstheme="majorHAnsi"/>
        </w:rPr>
        <w:t xml:space="preserve"> allowance of private rights of action to pursue class actions, and </w:t>
      </w:r>
      <w:r>
        <w:rPr>
          <w:rFonts w:asciiTheme="majorHAnsi" w:hAnsiTheme="majorHAnsi" w:cstheme="majorHAnsi"/>
        </w:rPr>
        <w:lastRenderedPageBreak/>
        <w:t>a large majority of courts have granted certification absent strong evidence that the claims of the putative class are highly individualized.  (By contrast, for so-called “spam” emails, the CAN-SPAM Act’s prohibition on private rights of action by recipients has largely precluded similar suits.)</w:t>
      </w:r>
      <w:r>
        <w:rPr>
          <w:rStyle w:val="FootnoteReference"/>
          <w:rFonts w:asciiTheme="majorHAnsi" w:hAnsiTheme="majorHAnsi" w:cstheme="majorHAnsi"/>
        </w:rPr>
        <w:footnoteReference w:id="2"/>
      </w:r>
      <w:r>
        <w:rPr>
          <w:rFonts w:asciiTheme="majorHAnsi" w:hAnsiTheme="majorHAnsi" w:cstheme="majorHAnsi"/>
        </w:rPr>
        <w:t xml:space="preserve">  Moreover, because the </w:t>
      </w:r>
      <w:proofErr w:type="spellStart"/>
      <w:r>
        <w:rPr>
          <w:rFonts w:asciiTheme="majorHAnsi" w:hAnsiTheme="majorHAnsi" w:cstheme="majorHAnsi"/>
        </w:rPr>
        <w:t>TCPA</w:t>
      </w:r>
      <w:proofErr w:type="spellEnd"/>
      <w:r>
        <w:rPr>
          <w:rFonts w:asciiTheme="majorHAnsi" w:hAnsiTheme="majorHAnsi" w:cstheme="majorHAnsi"/>
        </w:rPr>
        <w:t xml:space="preserve"> places no cap on the aggregate damages available and does not limit the ability to pursue claims via class actions, the damages available can be potentially catastrophic.  Recent settlements in </w:t>
      </w:r>
      <w:proofErr w:type="spellStart"/>
      <w:r>
        <w:rPr>
          <w:rFonts w:asciiTheme="majorHAnsi" w:hAnsiTheme="majorHAnsi" w:cstheme="majorHAnsi"/>
        </w:rPr>
        <w:t>TCPA</w:t>
      </w:r>
      <w:proofErr w:type="spellEnd"/>
      <w:r>
        <w:rPr>
          <w:rFonts w:asciiTheme="majorHAnsi" w:hAnsiTheme="majorHAnsi" w:cstheme="majorHAnsi"/>
        </w:rPr>
        <w:t xml:space="preserve"> cases evidence this fact.  For instance, Capital One recently agreed to a settlement of $75.5 million over claims related to autodialed calls to cell phones, and Jiffy Lube agreed to a settlement valued at between $35 and $47 million for a text message promotional claim. While FCC enforcement in this area has been very limited, the potentially massive civil liability such marketing can generate warrants careful consideration. This is particularly true because computer or internet-based services are often used both to collect customer contact lists and to generate and transmit calls, texts and even faxes.</w:t>
      </w:r>
    </w:p>
    <w:p>
      <w:pPr>
        <w:spacing w:after="0" w:line="480" w:lineRule="auto"/>
        <w:jc w:val="both"/>
        <w:rPr>
          <w:rFonts w:asciiTheme="majorHAnsi" w:hAnsiTheme="majorHAnsi" w:cstheme="majorHAnsi"/>
        </w:rPr>
      </w:pPr>
      <w:r>
        <w:rPr>
          <w:rFonts w:asciiTheme="majorHAnsi" w:hAnsiTheme="majorHAnsi" w:cstheme="majorHAnsi"/>
          <w:b/>
        </w:rPr>
        <w:t>I.</w:t>
      </w:r>
      <w:r>
        <w:rPr>
          <w:rFonts w:asciiTheme="majorHAnsi" w:hAnsiTheme="majorHAnsi" w:cstheme="majorHAnsi"/>
          <w:b/>
        </w:rPr>
        <w:tab/>
      </w:r>
      <w:r>
        <w:rPr>
          <w:rFonts w:asciiTheme="majorHAnsi" w:hAnsiTheme="majorHAnsi" w:cstheme="majorHAnsi"/>
          <w:b/>
          <w:u w:val="single"/>
        </w:rPr>
        <w:t xml:space="preserve">What Is The </w:t>
      </w:r>
      <w:proofErr w:type="spellStart"/>
      <w:r>
        <w:rPr>
          <w:rFonts w:asciiTheme="majorHAnsi" w:hAnsiTheme="majorHAnsi" w:cstheme="majorHAnsi"/>
          <w:b/>
          <w:u w:val="single"/>
        </w:rPr>
        <w:t>TCPA</w:t>
      </w:r>
      <w:proofErr w:type="spellEnd"/>
      <w:r>
        <w:rPr>
          <w:rFonts w:asciiTheme="majorHAnsi" w:hAnsiTheme="majorHAnsi" w:cstheme="majorHAnsi"/>
          <w:b/>
          <w:u w:val="single"/>
        </w:rPr>
        <w:t xml:space="preserve"> And Why Should I Care?</w:t>
      </w:r>
    </w:p>
    <w:p>
      <w:pPr>
        <w:pStyle w:val="ListParagraph"/>
        <w:numPr>
          <w:ilvl w:val="0"/>
          <w:numId w:val="22"/>
        </w:numPr>
        <w:spacing w:after="0" w:line="480" w:lineRule="auto"/>
        <w:ind w:left="0" w:firstLine="720"/>
        <w:rPr>
          <w:rFonts w:asciiTheme="majorHAnsi" w:hAnsiTheme="majorHAnsi" w:cstheme="majorHAnsi"/>
        </w:rPr>
      </w:pPr>
      <w:r>
        <w:rPr>
          <w:rFonts w:asciiTheme="majorHAnsi" w:hAnsiTheme="majorHAnsi" w:cstheme="majorHAnsi"/>
        </w:rPr>
        <w:t xml:space="preserve">Federal statute enacted by Congress 25 years ago </w:t>
      </w:r>
    </w:p>
    <w:p>
      <w:pPr>
        <w:pStyle w:val="ListParagraph"/>
        <w:numPr>
          <w:ilvl w:val="0"/>
          <w:numId w:val="22"/>
        </w:numPr>
        <w:spacing w:after="0" w:line="480" w:lineRule="auto"/>
        <w:ind w:left="0" w:firstLine="720"/>
        <w:rPr>
          <w:rFonts w:asciiTheme="majorHAnsi" w:hAnsiTheme="majorHAnsi" w:cstheme="majorHAnsi"/>
        </w:rPr>
      </w:pPr>
      <w:r>
        <w:rPr>
          <w:rFonts w:asciiTheme="majorHAnsi" w:hAnsiTheme="majorHAnsi" w:cstheme="majorHAnsi"/>
        </w:rPr>
        <w:t xml:space="preserve">To protect consumers from unwanted telephone calls and faxes </w:t>
      </w:r>
    </w:p>
    <w:p>
      <w:pPr>
        <w:pStyle w:val="ListParagraph"/>
        <w:numPr>
          <w:ilvl w:val="0"/>
          <w:numId w:val="22"/>
        </w:numPr>
        <w:spacing w:after="0" w:line="480" w:lineRule="auto"/>
        <w:ind w:left="0" w:firstLine="720"/>
        <w:rPr>
          <w:rFonts w:asciiTheme="majorHAnsi" w:hAnsiTheme="majorHAnsi" w:cstheme="majorHAnsi"/>
        </w:rPr>
      </w:pPr>
      <w:r>
        <w:rPr>
          <w:rFonts w:asciiTheme="majorHAnsi" w:hAnsiTheme="majorHAnsi" w:cstheme="majorHAnsi"/>
        </w:rPr>
        <w:t>Implemented and interpreted by the FCC</w:t>
      </w:r>
    </w:p>
    <w:p>
      <w:pPr>
        <w:pStyle w:val="ListParagraph"/>
        <w:numPr>
          <w:ilvl w:val="0"/>
          <w:numId w:val="22"/>
        </w:numPr>
        <w:spacing w:after="0" w:line="480" w:lineRule="auto"/>
        <w:ind w:left="0" w:firstLine="720"/>
        <w:rPr>
          <w:rFonts w:asciiTheme="majorHAnsi" w:hAnsiTheme="majorHAnsi" w:cstheme="majorHAnsi"/>
        </w:rPr>
      </w:pPr>
      <w:r>
        <w:rPr>
          <w:rFonts w:asciiTheme="majorHAnsi" w:hAnsiTheme="majorHAnsi" w:cstheme="majorHAnsi"/>
        </w:rPr>
        <w:t xml:space="preserve">Enforced by the FCC, state Attorneys General, and private litigants </w:t>
      </w:r>
    </w:p>
    <w:p>
      <w:pPr>
        <w:pStyle w:val="ListParagraph"/>
        <w:numPr>
          <w:ilvl w:val="0"/>
          <w:numId w:val="22"/>
        </w:numPr>
        <w:spacing w:after="0" w:line="480" w:lineRule="auto"/>
        <w:ind w:left="0" w:firstLine="720"/>
        <w:rPr>
          <w:rFonts w:asciiTheme="majorHAnsi" w:hAnsiTheme="majorHAnsi" w:cstheme="majorHAnsi"/>
        </w:rPr>
      </w:pPr>
      <w:r>
        <w:rPr>
          <w:rFonts w:asciiTheme="majorHAnsi" w:hAnsiTheme="majorHAnsi" w:cstheme="majorHAnsi"/>
        </w:rPr>
        <w:t>Cottage industry of class action lawsuits</w:t>
      </w:r>
    </w:p>
    <w:p>
      <w:pPr>
        <w:pStyle w:val="ListParagraph"/>
        <w:numPr>
          <w:ilvl w:val="0"/>
          <w:numId w:val="22"/>
        </w:numPr>
        <w:spacing w:after="0" w:line="480" w:lineRule="auto"/>
        <w:ind w:left="0" w:firstLine="720"/>
        <w:rPr>
          <w:rFonts w:asciiTheme="majorHAnsi" w:hAnsiTheme="majorHAnsi" w:cstheme="majorHAnsi"/>
        </w:rPr>
      </w:pPr>
      <w:r>
        <w:t>Essentially a strict liability statute</w:t>
      </w:r>
    </w:p>
    <w:p>
      <w:pPr>
        <w:spacing w:after="0" w:line="480" w:lineRule="auto"/>
        <w:ind w:firstLine="720"/>
        <w:rPr>
          <w:rFonts w:asciiTheme="majorHAnsi" w:hAnsiTheme="majorHAnsi" w:cstheme="majorHAnsi"/>
        </w:rPr>
      </w:pPr>
      <w:r>
        <w:t xml:space="preserve">Numerous courts have determined that the </w:t>
      </w:r>
      <w:proofErr w:type="spellStart"/>
      <w:r>
        <w:t>TCPA</w:t>
      </w:r>
      <w:proofErr w:type="spellEnd"/>
      <w:r>
        <w:t xml:space="preserve"> does not require intent to impose liability, except when awarding up to treble damages for “willfully or knowingly” violating the act.  </w:t>
      </w:r>
      <w:proofErr w:type="gramStart"/>
      <w:r>
        <w:rPr>
          <w:i/>
          <w:iCs/>
        </w:rPr>
        <w:t>See, e.g.</w:t>
      </w:r>
      <w:r>
        <w:rPr>
          <w:iCs/>
        </w:rPr>
        <w:t xml:space="preserve">, </w:t>
      </w:r>
      <w:r>
        <w:rPr>
          <w:i/>
          <w:iCs/>
        </w:rPr>
        <w:t xml:space="preserve">Universal Underwriters v. Lou </w:t>
      </w:r>
      <w:proofErr w:type="spellStart"/>
      <w:r>
        <w:rPr>
          <w:i/>
          <w:iCs/>
        </w:rPr>
        <w:t>Fuze</w:t>
      </w:r>
      <w:proofErr w:type="spellEnd"/>
      <w:r>
        <w:rPr>
          <w:i/>
          <w:iCs/>
        </w:rPr>
        <w:t xml:space="preserve"> Auto.</w:t>
      </w:r>
      <w:proofErr w:type="gramEnd"/>
      <w:r>
        <w:rPr>
          <w:i/>
          <w:iCs/>
        </w:rPr>
        <w:t xml:space="preserve"> Network, Inc.,</w:t>
      </w:r>
      <w:r>
        <w:t xml:space="preserve"> 401 </w:t>
      </w:r>
      <w:proofErr w:type="spellStart"/>
      <w:r>
        <w:t>F.3d</w:t>
      </w:r>
      <w:proofErr w:type="spellEnd"/>
      <w:r>
        <w:t xml:space="preserve"> 876, 882 (8th </w:t>
      </w:r>
      <w:r>
        <w:lastRenderedPageBreak/>
        <w:t>Cir. 2005) (“[I]</w:t>
      </w:r>
      <w:proofErr w:type="spellStart"/>
      <w:r>
        <w:t>ntent</w:t>
      </w:r>
      <w:proofErr w:type="spellEnd"/>
      <w:r>
        <w:t xml:space="preserve"> is not a prerequisite to liability under the [</w:t>
      </w:r>
      <w:proofErr w:type="spellStart"/>
      <w:r>
        <w:t>TCPA</w:t>
      </w:r>
      <w:proofErr w:type="spellEnd"/>
      <w:r>
        <w:t xml:space="preserve">].”); </w:t>
      </w:r>
      <w:r>
        <w:rPr>
          <w:i/>
        </w:rPr>
        <w:t>Melrose Hotel Co. v. St. Paul Fire &amp; Marine Ins. Co.</w:t>
      </w:r>
      <w:r>
        <w:t xml:space="preserve">, 432 F. Supp. </w:t>
      </w:r>
      <w:proofErr w:type="spellStart"/>
      <w:r>
        <w:t>2d</w:t>
      </w:r>
      <w:proofErr w:type="spellEnd"/>
      <w:r>
        <w:t xml:space="preserve"> 488, 510 (E.D. Pa. 2006) (“knowledge about the </w:t>
      </w:r>
      <w:proofErr w:type="spellStart"/>
      <w:r>
        <w:t>TCPA</w:t>
      </w:r>
      <w:proofErr w:type="spellEnd"/>
      <w:r>
        <w:t xml:space="preserve"> and … lack of intent to violate the </w:t>
      </w:r>
      <w:proofErr w:type="spellStart"/>
      <w:r>
        <w:t>TCPA</w:t>
      </w:r>
      <w:proofErr w:type="spellEnd"/>
      <w:r>
        <w:t xml:space="preserve"> are irrelevant” to whether defendant intended to cause harm), </w:t>
      </w:r>
      <w:r>
        <w:rPr>
          <w:i/>
        </w:rPr>
        <w:t>aff'd sub nom.</w:t>
      </w:r>
      <w:r>
        <w:t xml:space="preserve"> </w:t>
      </w:r>
      <w:r>
        <w:rPr>
          <w:i/>
        </w:rPr>
        <w:t>Subclass 2 v. Melrose Hotel Co.</w:t>
      </w:r>
      <w:r>
        <w:t xml:space="preserve">, 503 </w:t>
      </w:r>
      <w:proofErr w:type="spellStart"/>
      <w:r>
        <w:t>F.3d</w:t>
      </w:r>
      <w:proofErr w:type="spellEnd"/>
      <w:r>
        <w:t xml:space="preserve"> 339 (</w:t>
      </w:r>
      <w:proofErr w:type="spellStart"/>
      <w:r>
        <w:t>3d</w:t>
      </w:r>
      <w:proofErr w:type="spellEnd"/>
      <w:r>
        <w:t xml:space="preserve"> Cir. 2007); </w:t>
      </w:r>
      <w:r>
        <w:rPr>
          <w:i/>
          <w:iCs/>
        </w:rPr>
        <w:t xml:space="preserve">Park Univ. Enters., Inc. v. Am. </w:t>
      </w:r>
      <w:proofErr w:type="spellStart"/>
      <w:r>
        <w:rPr>
          <w:i/>
          <w:iCs/>
        </w:rPr>
        <w:t>Cas</w:t>
      </w:r>
      <w:proofErr w:type="spellEnd"/>
      <w:r>
        <w:rPr>
          <w:i/>
          <w:iCs/>
        </w:rPr>
        <w:t>. Co. of Reading, PA.,</w:t>
      </w:r>
      <w:r>
        <w:t xml:space="preserve"> 314 F. </w:t>
      </w:r>
      <w:proofErr w:type="spellStart"/>
      <w:r>
        <w:t>Supp.2d</w:t>
      </w:r>
      <w:proofErr w:type="spellEnd"/>
      <w:r>
        <w:t xml:space="preserve"> 1094, 1103 (D. Kan. 2004) (“The </w:t>
      </w:r>
      <w:proofErr w:type="spellStart"/>
      <w:r>
        <w:t>TCPA</w:t>
      </w:r>
      <w:proofErr w:type="spellEnd"/>
      <w:r>
        <w:t xml:space="preserve"> is essentially a strict liability statute” where liability can be found for erroneous unsolicited faxes).</w:t>
      </w:r>
    </w:p>
    <w:p>
      <w:pPr>
        <w:spacing w:after="0" w:line="480" w:lineRule="auto"/>
        <w:ind w:firstLine="720"/>
        <w:rPr>
          <w:rFonts w:asciiTheme="majorHAnsi" w:hAnsiTheme="majorHAnsi" w:cstheme="majorHAnsi"/>
          <w:b/>
          <w:u w:val="single"/>
        </w:rPr>
      </w:pPr>
      <w:r>
        <w:rPr>
          <w:rFonts w:asciiTheme="majorHAnsi" w:hAnsiTheme="majorHAnsi" w:cstheme="majorHAnsi"/>
          <w:b/>
        </w:rPr>
        <w:t>A.</w:t>
      </w:r>
      <w:r>
        <w:rPr>
          <w:rFonts w:asciiTheme="majorHAnsi" w:hAnsiTheme="majorHAnsi" w:cstheme="majorHAnsi"/>
          <w:b/>
        </w:rPr>
        <w:tab/>
      </w:r>
      <w:r>
        <w:rPr>
          <w:rFonts w:asciiTheme="majorHAnsi" w:hAnsiTheme="majorHAnsi" w:cstheme="majorHAnsi"/>
          <w:b/>
          <w:u w:val="single"/>
        </w:rPr>
        <w:t xml:space="preserve">General Prohibitions of the </w:t>
      </w:r>
      <w:proofErr w:type="spellStart"/>
      <w:r>
        <w:rPr>
          <w:rFonts w:asciiTheme="majorHAnsi" w:hAnsiTheme="majorHAnsi" w:cstheme="majorHAnsi"/>
          <w:b/>
          <w:u w:val="single"/>
        </w:rPr>
        <w:t>TCPA</w:t>
      </w:r>
      <w:proofErr w:type="spellEnd"/>
    </w:p>
    <w:p>
      <w:pPr>
        <w:pStyle w:val="ListParagraph"/>
        <w:numPr>
          <w:ilvl w:val="0"/>
          <w:numId w:val="23"/>
        </w:numPr>
        <w:spacing w:after="0" w:line="480" w:lineRule="auto"/>
        <w:ind w:left="2160" w:hanging="720"/>
        <w:rPr>
          <w:rFonts w:asciiTheme="majorHAnsi" w:hAnsiTheme="majorHAnsi" w:cstheme="majorHAnsi"/>
        </w:rPr>
      </w:pPr>
      <w:r>
        <w:rPr>
          <w:rFonts w:asciiTheme="majorHAnsi" w:hAnsiTheme="majorHAnsi" w:cstheme="majorHAnsi"/>
        </w:rPr>
        <w:t>Making calls (or sending text messages) to cellular phones using an automated telephone dialing system or an artificial or prerecorded voice without appropriate consent.</w:t>
      </w:r>
    </w:p>
    <w:p>
      <w:pPr>
        <w:pStyle w:val="ListParagraph"/>
        <w:numPr>
          <w:ilvl w:val="0"/>
          <w:numId w:val="23"/>
        </w:numPr>
        <w:spacing w:after="0" w:line="480" w:lineRule="auto"/>
        <w:ind w:left="2160" w:hanging="720"/>
        <w:rPr>
          <w:rFonts w:asciiTheme="majorHAnsi" w:hAnsiTheme="majorHAnsi" w:cstheme="majorHAnsi"/>
        </w:rPr>
      </w:pPr>
      <w:r>
        <w:rPr>
          <w:rFonts w:asciiTheme="majorHAnsi" w:hAnsiTheme="majorHAnsi" w:cstheme="majorHAnsi"/>
        </w:rPr>
        <w:t>Initiating telephone calls to residential telephone lines using an artificial or prerecorded voice to deliver a message without (</w:t>
      </w:r>
      <w:proofErr w:type="spellStart"/>
      <w:r>
        <w:rPr>
          <w:rFonts w:asciiTheme="majorHAnsi" w:hAnsiTheme="majorHAnsi" w:cstheme="majorHAnsi"/>
        </w:rPr>
        <w:t>i</w:t>
      </w:r>
      <w:proofErr w:type="spellEnd"/>
      <w:r>
        <w:rPr>
          <w:rFonts w:asciiTheme="majorHAnsi" w:hAnsiTheme="majorHAnsi" w:cstheme="majorHAnsi"/>
        </w:rPr>
        <w:t>) prior express consent (if for a commercial purpose) or (ii) appropriate disclosure language.</w:t>
      </w:r>
    </w:p>
    <w:p>
      <w:pPr>
        <w:pStyle w:val="ListParagraph"/>
        <w:numPr>
          <w:ilvl w:val="0"/>
          <w:numId w:val="23"/>
        </w:numPr>
        <w:spacing w:after="0" w:line="480" w:lineRule="auto"/>
        <w:ind w:left="2160" w:hanging="720"/>
        <w:rPr>
          <w:rFonts w:asciiTheme="majorHAnsi" w:hAnsiTheme="majorHAnsi" w:cstheme="majorHAnsi"/>
        </w:rPr>
      </w:pPr>
      <w:r>
        <w:rPr>
          <w:rFonts w:asciiTheme="majorHAnsi" w:hAnsiTheme="majorHAnsi" w:cstheme="majorHAnsi"/>
        </w:rPr>
        <w:t>Sending unsolicited fax advertisements without appropriate consent or opt-out disclosure.</w:t>
      </w:r>
    </w:p>
    <w:p>
      <w:pPr>
        <w:pStyle w:val="ListParagraph"/>
        <w:numPr>
          <w:ilvl w:val="0"/>
          <w:numId w:val="23"/>
        </w:numPr>
        <w:spacing w:after="0" w:line="480" w:lineRule="auto"/>
        <w:ind w:left="2160" w:hanging="720"/>
        <w:rPr>
          <w:rFonts w:asciiTheme="majorHAnsi" w:hAnsiTheme="majorHAnsi" w:cstheme="majorHAnsi"/>
        </w:rPr>
      </w:pPr>
      <w:r>
        <w:rPr>
          <w:rFonts w:asciiTheme="majorHAnsi" w:hAnsiTheme="majorHAnsi" w:cstheme="majorHAnsi"/>
        </w:rPr>
        <w:t>Making telemarketing calls to residential consumers who list their numbers on the National Do-Not-Call Registry.</w:t>
      </w:r>
    </w:p>
    <w:p>
      <w:pPr>
        <w:spacing w:after="0"/>
        <w:ind w:left="720" w:firstLine="720"/>
        <w:rPr>
          <w:rFonts w:asciiTheme="majorHAnsi" w:hAnsiTheme="majorHAnsi" w:cstheme="majorHAnsi"/>
          <w:b/>
          <w:u w:val="single"/>
        </w:rPr>
      </w:pPr>
      <w:r>
        <w:rPr>
          <w:rFonts w:asciiTheme="majorHAnsi" w:hAnsiTheme="majorHAnsi" w:cstheme="majorHAnsi"/>
          <w:b/>
        </w:rPr>
        <w:t>1.</w:t>
      </w:r>
      <w:r>
        <w:rPr>
          <w:rFonts w:asciiTheme="majorHAnsi" w:hAnsiTheme="majorHAnsi" w:cstheme="majorHAnsi"/>
          <w:b/>
        </w:rPr>
        <w:tab/>
      </w:r>
      <w:r>
        <w:rPr>
          <w:rFonts w:asciiTheme="majorHAnsi" w:hAnsiTheme="majorHAnsi" w:cstheme="majorHAnsi"/>
          <w:b/>
          <w:u w:val="single"/>
        </w:rPr>
        <w:t>Cell phone calls</w:t>
      </w:r>
    </w:p>
    <w:p>
      <w:pPr>
        <w:spacing w:after="0"/>
        <w:rPr>
          <w:rFonts w:asciiTheme="majorHAnsi" w:hAnsiTheme="majorHAnsi" w:cstheme="majorHAnsi"/>
        </w:rPr>
      </w:pPr>
    </w:p>
    <w:p>
      <w:pPr>
        <w:spacing w:after="0" w:line="480" w:lineRule="auto"/>
      </w:pPr>
      <w:r>
        <w:tab/>
        <w:t xml:space="preserve">The </w:t>
      </w:r>
      <w:proofErr w:type="spellStart"/>
      <w:r>
        <w:rPr>
          <w:rFonts w:asciiTheme="majorHAnsi" w:hAnsiTheme="majorHAnsi" w:cstheme="majorHAnsi"/>
        </w:rPr>
        <w:t>TCPA</w:t>
      </w:r>
      <w:proofErr w:type="spellEnd"/>
      <w:r>
        <w:rPr>
          <w:rFonts w:asciiTheme="majorHAnsi" w:hAnsiTheme="majorHAnsi" w:cstheme="majorHAnsi"/>
        </w:rPr>
        <w:t xml:space="preserve"> generally prohibits calls – including text messages – to cell phones made using any </w:t>
      </w:r>
      <w:r>
        <w:t>automated telephone dialing system (“</w:t>
      </w:r>
      <w:proofErr w:type="spellStart"/>
      <w:r>
        <w:t>ATDS</w:t>
      </w:r>
      <w:proofErr w:type="spellEnd"/>
      <w:r>
        <w:t xml:space="preserve">”) </w:t>
      </w:r>
      <w:r>
        <w:rPr>
          <w:rFonts w:asciiTheme="majorHAnsi" w:hAnsiTheme="majorHAnsi" w:cstheme="majorHAnsi"/>
        </w:rPr>
        <w:t>or artificial or prerecorded</w:t>
      </w:r>
      <w:r>
        <w:t xml:space="preserve"> voice.  47 </w:t>
      </w:r>
      <w:proofErr w:type="spellStart"/>
      <w:r>
        <w:t>U.S.C</w:t>
      </w:r>
      <w:proofErr w:type="spellEnd"/>
      <w:r>
        <w:t>. § 227(b</w:t>
      </w:r>
      <w:proofErr w:type="gramStart"/>
      <w:r>
        <w:t>)(</w:t>
      </w:r>
      <w:proofErr w:type="gramEnd"/>
      <w:r>
        <w:t xml:space="preserve">1)(A).  The only exceptions are for calls made for “emergency purposes” or with “prior express consent.”  </w:t>
      </w:r>
      <w:r>
        <w:rPr>
          <w:i/>
        </w:rPr>
        <w:t>Id.</w:t>
      </w:r>
    </w:p>
    <w:p>
      <w:pPr>
        <w:spacing w:after="0" w:line="480" w:lineRule="auto"/>
        <w:ind w:firstLine="720"/>
      </w:pPr>
      <w:r>
        <w:lastRenderedPageBreak/>
        <w:t xml:space="preserve">The restrictions governing use of </w:t>
      </w:r>
      <w:proofErr w:type="spellStart"/>
      <w:r>
        <w:t>ATDSs</w:t>
      </w:r>
      <w:proofErr w:type="spellEnd"/>
      <w:r>
        <w:t xml:space="preserve"> and artificial or prerecorded voice calls to cell phones apply not only to telemarketing calls and text messages, but also to most other types of non-emergency calls, including debt collection, promotional, and informational calls.  </w:t>
      </w:r>
      <w:r>
        <w:rPr>
          <w:i/>
        </w:rPr>
        <w:t xml:space="preserve">See </w:t>
      </w:r>
      <w:r>
        <w:t xml:space="preserve">47 </w:t>
      </w:r>
      <w:proofErr w:type="spellStart"/>
      <w:r>
        <w:t>C.F.R</w:t>
      </w:r>
      <w:proofErr w:type="spellEnd"/>
      <w:r>
        <w:t xml:space="preserve">. § 64.1200(a)(1), (3); </w:t>
      </w:r>
      <w:proofErr w:type="spellStart"/>
      <w:r>
        <w:rPr>
          <w:i/>
        </w:rPr>
        <w:t>Gager</w:t>
      </w:r>
      <w:proofErr w:type="spellEnd"/>
      <w:r>
        <w:rPr>
          <w:i/>
        </w:rPr>
        <w:t xml:space="preserve"> v. Dell Fin. </w:t>
      </w:r>
      <w:proofErr w:type="spellStart"/>
      <w:r>
        <w:rPr>
          <w:i/>
        </w:rPr>
        <w:t>Servs</w:t>
      </w:r>
      <w:proofErr w:type="spellEnd"/>
      <w:r>
        <w:rPr>
          <w:i/>
        </w:rPr>
        <w:t>., LLC</w:t>
      </w:r>
      <w:r>
        <w:t xml:space="preserve">, 727 </w:t>
      </w:r>
      <w:proofErr w:type="spellStart"/>
      <w:r>
        <w:t>F.3d</w:t>
      </w:r>
      <w:proofErr w:type="spellEnd"/>
      <w:r>
        <w:t xml:space="preserve"> 265, 273 (</w:t>
      </w:r>
      <w:proofErr w:type="spellStart"/>
      <w:r>
        <w:t>3d</w:t>
      </w:r>
      <w:proofErr w:type="spellEnd"/>
      <w:r>
        <w:t xml:space="preserve"> Cir. 2013) (“The only exemptions in the </w:t>
      </w:r>
      <w:proofErr w:type="spellStart"/>
      <w:r>
        <w:t>TCPA</w:t>
      </w:r>
      <w:proofErr w:type="spellEnd"/>
      <w:r>
        <w:t xml:space="preserve"> that apply to cellular phones are for emergency calls and calls made with prior express consent.”); </w:t>
      </w:r>
      <w:r>
        <w:rPr>
          <w:i/>
        </w:rPr>
        <w:t xml:space="preserve">Golan v. Veritas </w:t>
      </w:r>
      <w:proofErr w:type="spellStart"/>
      <w:r>
        <w:rPr>
          <w:i/>
        </w:rPr>
        <w:t>Enter’t</w:t>
      </w:r>
      <w:proofErr w:type="spellEnd"/>
      <w:r>
        <w:rPr>
          <w:i/>
        </w:rPr>
        <w:t>, LLC</w:t>
      </w:r>
      <w:r>
        <w:t xml:space="preserve">, 2015 WL 3540573, at *4-5 (8th Cir. Jun. 8, 2015); </w:t>
      </w:r>
      <w:proofErr w:type="spellStart"/>
      <w:r>
        <w:rPr>
          <w:i/>
        </w:rPr>
        <w:t>Chesbro</w:t>
      </w:r>
      <w:proofErr w:type="spellEnd"/>
      <w:r>
        <w:rPr>
          <w:i/>
        </w:rPr>
        <w:t xml:space="preserve"> v. Best Buy Stores, Inc.</w:t>
      </w:r>
      <w:r>
        <w:t xml:space="preserve">, 705 </w:t>
      </w:r>
      <w:proofErr w:type="spellStart"/>
      <w:r>
        <w:t>F.3d</w:t>
      </w:r>
      <w:proofErr w:type="spellEnd"/>
      <w:r>
        <w:t xml:space="preserve"> 913, 918 (9th Cir. 2012); </w:t>
      </w:r>
      <w:r>
        <w:rPr>
          <w:i/>
        </w:rPr>
        <w:t>Meyer v. Portfolio Recovery Assocs., LLC</w:t>
      </w:r>
      <w:r>
        <w:t xml:space="preserve">, 707 </w:t>
      </w:r>
      <w:proofErr w:type="spellStart"/>
      <w:r>
        <w:t>F.3d</w:t>
      </w:r>
      <w:proofErr w:type="spellEnd"/>
      <w:r>
        <w:t xml:space="preserve"> 1036, 1040 (6th Cir. 2012), </w:t>
      </w:r>
      <w:r>
        <w:rPr>
          <w:i/>
        </w:rPr>
        <w:t>cert. denied</w:t>
      </w:r>
      <w:r>
        <w:t xml:space="preserve">, 133 S. Ct. 2361 (2013); </w:t>
      </w:r>
      <w:r>
        <w:rPr>
          <w:i/>
        </w:rPr>
        <w:t xml:space="preserve">see also </w:t>
      </w:r>
      <w:proofErr w:type="spellStart"/>
      <w:r>
        <w:rPr>
          <w:i/>
        </w:rPr>
        <w:t>Gager</w:t>
      </w:r>
      <w:proofErr w:type="spellEnd"/>
      <w:r>
        <w:rPr>
          <w:i/>
        </w:rPr>
        <w:t xml:space="preserve">, </w:t>
      </w:r>
      <w:r>
        <w:t xml:space="preserve">727 </w:t>
      </w:r>
      <w:proofErr w:type="spellStart"/>
      <w:r>
        <w:t>F.2d</w:t>
      </w:r>
      <w:proofErr w:type="spellEnd"/>
      <w:r>
        <w:t xml:space="preserve"> at 265 (</w:t>
      </w:r>
      <w:proofErr w:type="spellStart"/>
      <w:r>
        <w:t>TCPA’s</w:t>
      </w:r>
      <w:proofErr w:type="spellEnd"/>
      <w:r>
        <w:t xml:space="preserve"> prohibition on automated dialing applies to both voice calls and text messages).  </w:t>
      </w:r>
    </w:p>
    <w:p>
      <w:pPr>
        <w:spacing w:after="0" w:line="480" w:lineRule="auto"/>
        <w:ind w:firstLine="720"/>
      </w:pPr>
      <w:r>
        <w:t xml:space="preserve">Regardless of whether a call to a cell phone is for commercial or non-commercial purposes, oral or written consent (depending on whether the call of for telemarketing) is always required. </w:t>
      </w:r>
      <w:proofErr w:type="spellStart"/>
      <w:r>
        <w:rPr>
          <w:i/>
        </w:rPr>
        <w:t>Gager</w:t>
      </w:r>
      <w:proofErr w:type="spellEnd"/>
      <w:r>
        <w:t xml:space="preserve">, 727 </w:t>
      </w:r>
      <w:proofErr w:type="spellStart"/>
      <w:r>
        <w:t>F.2d</w:t>
      </w:r>
      <w:proofErr w:type="spellEnd"/>
      <w:r>
        <w:t xml:space="preserve"> at 273; </w:t>
      </w:r>
      <w:r>
        <w:rPr>
          <w:i/>
        </w:rPr>
        <w:t xml:space="preserve">see also </w:t>
      </w:r>
      <w:r>
        <w:t xml:space="preserve">47 </w:t>
      </w:r>
      <w:proofErr w:type="spellStart"/>
      <w:r>
        <w:t>C.F.R</w:t>
      </w:r>
      <w:proofErr w:type="spellEnd"/>
      <w:r>
        <w:t>. § 64.1200(a</w:t>
      </w:r>
      <w:proofErr w:type="gramStart"/>
      <w:r>
        <w:t>)(</w:t>
      </w:r>
      <w:proofErr w:type="gramEnd"/>
      <w:r>
        <w:t xml:space="preserve">2), (3). </w:t>
      </w:r>
    </w:p>
    <w:p>
      <w:pPr>
        <w:spacing w:after="0" w:line="480" w:lineRule="auto"/>
        <w:ind w:left="720" w:firstLine="720"/>
        <w:rPr>
          <w:b/>
          <w:u w:val="single"/>
        </w:rPr>
      </w:pPr>
      <w:r>
        <w:rPr>
          <w:b/>
        </w:rPr>
        <w:t>2.</w:t>
      </w:r>
      <w:r>
        <w:rPr>
          <w:b/>
        </w:rPr>
        <w:tab/>
      </w:r>
      <w:r>
        <w:rPr>
          <w:b/>
          <w:u w:val="single"/>
        </w:rPr>
        <w:t xml:space="preserve">Residential landline calls </w:t>
      </w:r>
    </w:p>
    <w:p>
      <w:pPr>
        <w:spacing w:after="0" w:line="480" w:lineRule="auto"/>
        <w:ind w:firstLine="720"/>
      </w:pPr>
      <w:r>
        <w:t xml:space="preserve">Unlike calls to cell phones, telemarketing calls to residential landline telephone numbers can be made using an </w:t>
      </w:r>
      <w:proofErr w:type="spellStart"/>
      <w:r>
        <w:t>ATDS</w:t>
      </w:r>
      <w:proofErr w:type="spellEnd"/>
      <w:r>
        <w:t xml:space="preserve"> without prior consent; however, calls using an artificial or prerecorded voice can be made only with the prior express written consent of the called party.  </w:t>
      </w:r>
      <w:r>
        <w:rPr>
          <w:i/>
        </w:rPr>
        <w:t>See</w:t>
      </w:r>
      <w:r>
        <w:t xml:space="preserve"> 47 </w:t>
      </w:r>
      <w:proofErr w:type="spellStart"/>
      <w:r>
        <w:t>C.F.R</w:t>
      </w:r>
      <w:proofErr w:type="spellEnd"/>
      <w:r>
        <w:t>. § 64.1200(a</w:t>
      </w:r>
      <w:proofErr w:type="gramStart"/>
      <w:r>
        <w:t>)(</w:t>
      </w:r>
      <w:proofErr w:type="gramEnd"/>
      <w:r>
        <w:t>3).  In addition, the FCC recently heightened the level of consent required for these residential calls (from “prior express consent” to “prior express written consent”) and also eliminated the established business relationship (“</w:t>
      </w:r>
      <w:proofErr w:type="spellStart"/>
      <w:r>
        <w:t>EBR</w:t>
      </w:r>
      <w:proofErr w:type="spellEnd"/>
      <w:r>
        <w:t xml:space="preserve">”) exception.  </w:t>
      </w:r>
      <w:r>
        <w:rPr>
          <w:i/>
        </w:rPr>
        <w:t xml:space="preserve">See </w:t>
      </w:r>
      <w:proofErr w:type="spellStart"/>
      <w:r>
        <w:rPr>
          <w:i/>
        </w:rPr>
        <w:t>Mais</w:t>
      </w:r>
      <w:proofErr w:type="spellEnd"/>
      <w:r>
        <w:rPr>
          <w:i/>
        </w:rPr>
        <w:t xml:space="preserve"> v. Gulf Coast Collection Bureau, Inc.</w:t>
      </w:r>
      <w:r>
        <w:t xml:space="preserve">, 768 </w:t>
      </w:r>
      <w:proofErr w:type="spellStart"/>
      <w:r>
        <w:t>F.3d</w:t>
      </w:r>
      <w:proofErr w:type="spellEnd"/>
      <w:r>
        <w:t xml:space="preserve"> 1110, 1118–19 (11th Cir. 2014).</w:t>
      </w:r>
    </w:p>
    <w:p>
      <w:pPr>
        <w:spacing w:after="0" w:line="480" w:lineRule="auto"/>
        <w:ind w:left="720" w:firstLine="720"/>
        <w:rPr>
          <w:b/>
          <w:u w:val="single"/>
        </w:rPr>
      </w:pPr>
      <w:r>
        <w:rPr>
          <w:b/>
        </w:rPr>
        <w:t>3.</w:t>
      </w:r>
      <w:r>
        <w:rPr>
          <w:b/>
        </w:rPr>
        <w:tab/>
      </w:r>
      <w:r>
        <w:rPr>
          <w:b/>
          <w:u w:val="single"/>
        </w:rPr>
        <w:t xml:space="preserve">Fax advertisements </w:t>
      </w:r>
    </w:p>
    <w:p>
      <w:pPr>
        <w:spacing w:after="0" w:line="480" w:lineRule="auto"/>
        <w:ind w:firstLine="720"/>
        <w:rPr>
          <w:rFonts w:asciiTheme="majorHAnsi" w:hAnsiTheme="majorHAnsi" w:cstheme="majorHAnsi"/>
        </w:rPr>
      </w:pPr>
      <w:r>
        <w:lastRenderedPageBreak/>
        <w:t xml:space="preserve">In 2005, Congress amended the </w:t>
      </w:r>
      <w:proofErr w:type="spellStart"/>
      <w:r>
        <w:t>TCPA</w:t>
      </w:r>
      <w:proofErr w:type="spellEnd"/>
      <w:r>
        <w:t xml:space="preserve"> by enacting the Junk Fax Prevention Act (“</w:t>
      </w:r>
      <w:proofErr w:type="spellStart"/>
      <w:r>
        <w:t>JFPA</w:t>
      </w:r>
      <w:proofErr w:type="spellEnd"/>
      <w:r>
        <w:t xml:space="preserve">”), which codified the </w:t>
      </w:r>
      <w:proofErr w:type="spellStart"/>
      <w:r>
        <w:t>EBR</w:t>
      </w:r>
      <w:proofErr w:type="spellEnd"/>
      <w:r>
        <w:t xml:space="preserve"> exception for advertisements by fax.  </w:t>
      </w:r>
      <w:r>
        <w:rPr>
          <w:i/>
        </w:rPr>
        <w:t xml:space="preserve">See </w:t>
      </w:r>
      <w:r>
        <w:t xml:space="preserve">47 </w:t>
      </w:r>
      <w:proofErr w:type="spellStart"/>
      <w:r>
        <w:t>U.S.C</w:t>
      </w:r>
      <w:proofErr w:type="spellEnd"/>
      <w:r>
        <w:t>. § 227(b</w:t>
      </w:r>
      <w:proofErr w:type="gramStart"/>
      <w:r>
        <w:t>)(</w:t>
      </w:r>
      <w:proofErr w:type="gramEnd"/>
      <w:r>
        <w:t xml:space="preserve">1)(C) (amended to make it unlawful for any person “to use any telephone facsimile machine, computer, or other device to send, to a telephone facsimile machine, an unsolicited advertisement, unless … the unsolicited advertisement is from a sender with an established business relationship with the recipient”).  Under the </w:t>
      </w:r>
      <w:proofErr w:type="spellStart"/>
      <w:r>
        <w:t>JFPA</w:t>
      </w:r>
      <w:proofErr w:type="spellEnd"/>
      <w:r>
        <w:t xml:space="preserve">, a sender of a fax advertisement must provide notice and contact information on the fax explaining how to opt out of future fax transmissions from the sender.  47 </w:t>
      </w:r>
      <w:proofErr w:type="spellStart"/>
      <w:r>
        <w:t>U.S.C</w:t>
      </w:r>
      <w:proofErr w:type="spellEnd"/>
      <w:r>
        <w:t>. § 227(b</w:t>
      </w:r>
      <w:proofErr w:type="gramStart"/>
      <w:r>
        <w:t>)(</w:t>
      </w:r>
      <w:proofErr w:type="gramEnd"/>
      <w:r>
        <w:t xml:space="preserve">2)(D). </w:t>
      </w:r>
    </w:p>
    <w:p>
      <w:pPr>
        <w:spacing w:after="0" w:line="480" w:lineRule="auto"/>
        <w:rPr>
          <w:rFonts w:asciiTheme="majorHAnsi" w:hAnsiTheme="majorHAnsi" w:cstheme="majorHAnsi"/>
          <w:b/>
        </w:rPr>
      </w:pPr>
      <w:r>
        <w:rPr>
          <w:rFonts w:asciiTheme="majorHAnsi" w:hAnsiTheme="majorHAnsi" w:cstheme="majorHAnsi"/>
          <w:b/>
        </w:rPr>
        <w:tab/>
        <w:t>B.</w:t>
      </w:r>
      <w:r>
        <w:rPr>
          <w:rFonts w:asciiTheme="majorHAnsi" w:hAnsiTheme="majorHAnsi" w:cstheme="majorHAnsi"/>
          <w:b/>
        </w:rPr>
        <w:tab/>
      </w:r>
      <w:r>
        <w:rPr>
          <w:rFonts w:asciiTheme="majorHAnsi" w:hAnsiTheme="majorHAnsi" w:cstheme="majorHAnsi"/>
          <w:b/>
          <w:u w:val="single"/>
        </w:rPr>
        <w:t>Unlimited Per-Call Liability</w:t>
      </w:r>
    </w:p>
    <w:p>
      <w:pPr>
        <w:spacing w:after="0" w:line="480" w:lineRule="auto"/>
        <w:ind w:firstLine="720"/>
        <w:rPr>
          <w:rFonts w:asciiTheme="majorHAnsi" w:hAnsiTheme="majorHAnsi" w:cstheme="majorHAnsi"/>
          <w:i/>
          <w:iCs/>
        </w:rPr>
      </w:pPr>
      <w:r>
        <w:rPr>
          <w:rFonts w:asciiTheme="majorHAnsi" w:hAnsiTheme="majorHAnsi" w:cstheme="majorHAnsi"/>
          <w:bCs/>
          <w:shd w:val="clear" w:color="auto" w:fill="FFFFFF"/>
        </w:rPr>
        <w:t xml:space="preserve">The most significant feature of the </w:t>
      </w:r>
      <w:proofErr w:type="spellStart"/>
      <w:r>
        <w:rPr>
          <w:rFonts w:asciiTheme="majorHAnsi" w:hAnsiTheme="majorHAnsi" w:cstheme="majorHAnsi"/>
          <w:bCs/>
          <w:shd w:val="clear" w:color="auto" w:fill="FFFFFF"/>
        </w:rPr>
        <w:t>TCPA</w:t>
      </w:r>
      <w:proofErr w:type="spellEnd"/>
      <w:r>
        <w:rPr>
          <w:rFonts w:asciiTheme="majorHAnsi" w:hAnsiTheme="majorHAnsi" w:cstheme="majorHAnsi"/>
          <w:bCs/>
          <w:shd w:val="clear" w:color="auto" w:fill="FFFFFF"/>
        </w:rPr>
        <w:t xml:space="preserve"> that makes it so appealing for plaintiffs’ lawyers – and potentially disastrous for businesses – is the fact that the </w:t>
      </w:r>
      <w:proofErr w:type="spellStart"/>
      <w:r>
        <w:rPr>
          <w:rFonts w:asciiTheme="majorHAnsi" w:hAnsiTheme="majorHAnsi" w:cstheme="majorHAnsi"/>
          <w:bCs/>
          <w:shd w:val="clear" w:color="auto" w:fill="FFFFFF"/>
        </w:rPr>
        <w:t>TCPA</w:t>
      </w:r>
      <w:proofErr w:type="spellEnd"/>
      <w:r>
        <w:rPr>
          <w:rFonts w:asciiTheme="majorHAnsi" w:hAnsiTheme="majorHAnsi" w:cstheme="majorHAnsi"/>
          <w:bCs/>
          <w:shd w:val="clear" w:color="auto" w:fill="FFFFFF"/>
        </w:rPr>
        <w:t xml:space="preserve"> does not contain any cap on damages.  Indeed, the </w:t>
      </w:r>
      <w:proofErr w:type="spellStart"/>
      <w:r>
        <w:rPr>
          <w:rFonts w:asciiTheme="majorHAnsi" w:hAnsiTheme="majorHAnsi" w:cstheme="majorHAnsi"/>
          <w:bCs/>
          <w:shd w:val="clear" w:color="auto" w:fill="FFFFFF"/>
        </w:rPr>
        <w:t>TCPA</w:t>
      </w:r>
      <w:proofErr w:type="spellEnd"/>
      <w:r>
        <w:rPr>
          <w:rFonts w:asciiTheme="majorHAnsi" w:hAnsiTheme="majorHAnsi" w:cstheme="majorHAnsi"/>
          <w:bCs/>
          <w:shd w:val="clear" w:color="auto" w:fill="FFFFFF"/>
        </w:rPr>
        <w:t xml:space="preserve"> provides aggrieved </w:t>
      </w:r>
      <w:r>
        <w:rPr>
          <w:rFonts w:asciiTheme="majorHAnsi" w:hAnsiTheme="majorHAnsi" w:cstheme="majorHAnsi"/>
        </w:rPr>
        <w:t>private party litigants with the following remedies: (</w:t>
      </w:r>
      <w:proofErr w:type="spellStart"/>
      <w:r>
        <w:rPr>
          <w:rFonts w:asciiTheme="majorHAnsi" w:hAnsiTheme="majorHAnsi" w:cstheme="majorHAnsi"/>
        </w:rPr>
        <w:t>i</w:t>
      </w:r>
      <w:proofErr w:type="spellEnd"/>
      <w:r>
        <w:rPr>
          <w:rFonts w:asciiTheme="majorHAnsi" w:hAnsiTheme="majorHAnsi" w:cstheme="majorHAnsi"/>
        </w:rPr>
        <w:t xml:space="preserve">) injunctive relief; (ii) $500 per violation of the </w:t>
      </w:r>
      <w:proofErr w:type="spellStart"/>
      <w:r>
        <w:rPr>
          <w:rFonts w:asciiTheme="majorHAnsi" w:hAnsiTheme="majorHAnsi" w:cstheme="majorHAnsi"/>
        </w:rPr>
        <w:t>TCPA</w:t>
      </w:r>
      <w:proofErr w:type="spellEnd"/>
      <w:r>
        <w:rPr>
          <w:rFonts w:asciiTheme="majorHAnsi" w:hAnsiTheme="majorHAnsi" w:cstheme="majorHAnsi"/>
        </w:rPr>
        <w:t xml:space="preserve"> </w:t>
      </w:r>
      <w:r>
        <w:rPr>
          <w:rFonts w:asciiTheme="majorHAnsi" w:hAnsiTheme="majorHAnsi" w:cstheme="majorHAnsi"/>
          <w:i/>
        </w:rPr>
        <w:t>or</w:t>
      </w:r>
      <w:r>
        <w:rPr>
          <w:rFonts w:asciiTheme="majorHAnsi" w:hAnsiTheme="majorHAnsi" w:cstheme="majorHAnsi"/>
        </w:rPr>
        <w:t xml:space="preserve"> actual damages (whichever is greater); or (iii) both injunctive relief and damages.  </w:t>
      </w:r>
      <w:r>
        <w:rPr>
          <w:rFonts w:asciiTheme="majorHAnsi" w:hAnsiTheme="majorHAnsi" w:cstheme="majorHAnsi"/>
          <w:i/>
          <w:iCs/>
        </w:rPr>
        <w:t>See</w:t>
      </w:r>
      <w:r>
        <w:rPr>
          <w:rFonts w:asciiTheme="majorHAnsi" w:hAnsiTheme="majorHAnsi" w:cstheme="majorHAnsi"/>
        </w:rPr>
        <w:t xml:space="preserve"> 47 </w:t>
      </w:r>
      <w:proofErr w:type="spellStart"/>
      <w:r>
        <w:rPr>
          <w:rFonts w:asciiTheme="majorHAnsi" w:hAnsiTheme="majorHAnsi" w:cstheme="majorHAnsi"/>
        </w:rPr>
        <w:t>U.S.C</w:t>
      </w:r>
      <w:proofErr w:type="spellEnd"/>
      <w:r>
        <w:rPr>
          <w:rFonts w:asciiTheme="majorHAnsi" w:hAnsiTheme="majorHAnsi" w:cstheme="majorHAnsi"/>
        </w:rPr>
        <w:t xml:space="preserve">. </w:t>
      </w:r>
      <w:r>
        <w:t>§ </w:t>
      </w:r>
      <w:r>
        <w:rPr>
          <w:rFonts w:asciiTheme="majorHAnsi" w:hAnsiTheme="majorHAnsi" w:cstheme="majorHAnsi"/>
        </w:rPr>
        <w:t>227(b</w:t>
      </w:r>
      <w:proofErr w:type="gramStart"/>
      <w:r>
        <w:rPr>
          <w:rFonts w:asciiTheme="majorHAnsi" w:hAnsiTheme="majorHAnsi" w:cstheme="majorHAnsi"/>
        </w:rPr>
        <w:t>)(</w:t>
      </w:r>
      <w:proofErr w:type="gramEnd"/>
      <w:r>
        <w:rPr>
          <w:rFonts w:asciiTheme="majorHAnsi" w:hAnsiTheme="majorHAnsi" w:cstheme="majorHAnsi"/>
        </w:rPr>
        <w:t xml:space="preserve">3).  Furthermore, the </w:t>
      </w:r>
      <w:proofErr w:type="spellStart"/>
      <w:r>
        <w:rPr>
          <w:rFonts w:asciiTheme="majorHAnsi" w:hAnsiTheme="majorHAnsi" w:cstheme="majorHAnsi"/>
        </w:rPr>
        <w:t>TCPA</w:t>
      </w:r>
      <w:proofErr w:type="spellEnd"/>
      <w:r>
        <w:rPr>
          <w:rFonts w:asciiTheme="majorHAnsi" w:hAnsiTheme="majorHAnsi" w:cstheme="majorHAnsi"/>
        </w:rPr>
        <w:t xml:space="preserve"> also vests courts with discretion to treble damage awards if a violation of the </w:t>
      </w:r>
      <w:proofErr w:type="spellStart"/>
      <w:r>
        <w:rPr>
          <w:rFonts w:asciiTheme="majorHAnsi" w:hAnsiTheme="majorHAnsi" w:cstheme="majorHAnsi"/>
        </w:rPr>
        <w:t>TCPA</w:t>
      </w:r>
      <w:proofErr w:type="spellEnd"/>
      <w:r>
        <w:rPr>
          <w:rFonts w:asciiTheme="majorHAnsi" w:hAnsiTheme="majorHAnsi" w:cstheme="majorHAnsi"/>
        </w:rPr>
        <w:t xml:space="preserve"> is willful or knowing – </w:t>
      </w:r>
      <w:r>
        <w:rPr>
          <w:rFonts w:asciiTheme="majorHAnsi" w:hAnsiTheme="majorHAnsi" w:cstheme="majorHAnsi"/>
          <w:i/>
        </w:rPr>
        <w:t>i.e.</w:t>
      </w:r>
      <w:r>
        <w:rPr>
          <w:rFonts w:asciiTheme="majorHAnsi" w:hAnsiTheme="majorHAnsi" w:cstheme="majorHAnsi"/>
        </w:rPr>
        <w:t xml:space="preserve">, each $500 violation can be increased to $1,500 in the court’s discretion. </w:t>
      </w:r>
    </w:p>
    <w:p>
      <w:pPr>
        <w:spacing w:after="0" w:line="480" w:lineRule="auto"/>
        <w:ind w:firstLine="720"/>
        <w:rPr>
          <w:rFonts w:asciiTheme="majorHAnsi" w:hAnsiTheme="majorHAnsi" w:cstheme="majorHAnsi"/>
        </w:rPr>
      </w:pPr>
      <w:r>
        <w:rPr>
          <w:rFonts w:asciiTheme="majorHAnsi" w:hAnsiTheme="majorHAnsi" w:cstheme="majorHAnsi"/>
        </w:rPr>
        <w:t xml:space="preserve">Although the </w:t>
      </w:r>
      <w:proofErr w:type="spellStart"/>
      <w:r>
        <w:rPr>
          <w:rFonts w:asciiTheme="majorHAnsi" w:hAnsiTheme="majorHAnsi" w:cstheme="majorHAnsi"/>
        </w:rPr>
        <w:t>TCPA</w:t>
      </w:r>
      <w:proofErr w:type="spellEnd"/>
      <w:r>
        <w:rPr>
          <w:rFonts w:asciiTheme="majorHAnsi" w:hAnsiTheme="majorHAnsi" w:cstheme="majorHAnsi"/>
        </w:rPr>
        <w:t xml:space="preserve"> does not provide for recovery of attorneys’ fees or costs, the imposition of statutory damages of at least $500 per violation (with potential trebling) creates the prospect of crippling damage awards.  For example, in </w:t>
      </w:r>
      <w:r>
        <w:rPr>
          <w:rFonts w:asciiTheme="majorHAnsi" w:hAnsiTheme="majorHAnsi" w:cstheme="majorHAnsi"/>
          <w:i/>
          <w:iCs/>
        </w:rPr>
        <w:t>CE Design Ltd. v. King Architectural Metals, Inc.</w:t>
      </w:r>
      <w:r>
        <w:rPr>
          <w:rFonts w:asciiTheme="majorHAnsi" w:hAnsiTheme="majorHAnsi" w:cstheme="majorHAnsi"/>
        </w:rPr>
        <w:t xml:space="preserve">, 637 </w:t>
      </w:r>
      <w:proofErr w:type="spellStart"/>
      <w:r>
        <w:rPr>
          <w:rFonts w:asciiTheme="majorHAnsi" w:hAnsiTheme="majorHAnsi" w:cstheme="majorHAnsi"/>
        </w:rPr>
        <w:t>F.3d</w:t>
      </w:r>
      <w:proofErr w:type="spellEnd"/>
      <w:r>
        <w:rPr>
          <w:rFonts w:asciiTheme="majorHAnsi" w:hAnsiTheme="majorHAnsi" w:cstheme="majorHAnsi"/>
        </w:rPr>
        <w:t xml:space="preserve"> 721, 724 (7th Cir. 2011), the U.S. Court of Appeals for the Seventh Circuit recognized the gravity of certifying a </w:t>
      </w:r>
      <w:proofErr w:type="spellStart"/>
      <w:r>
        <w:rPr>
          <w:rFonts w:asciiTheme="majorHAnsi" w:hAnsiTheme="majorHAnsi" w:cstheme="majorHAnsi"/>
        </w:rPr>
        <w:t>TCPA</w:t>
      </w:r>
      <w:proofErr w:type="spellEnd"/>
      <w:r>
        <w:rPr>
          <w:rFonts w:asciiTheme="majorHAnsi" w:hAnsiTheme="majorHAnsi" w:cstheme="majorHAnsi"/>
        </w:rPr>
        <w:t xml:space="preserve"> class in the action given that the defendant purportedly sent 500,000 faxes, which could result in a damage award of between $250 million </w:t>
      </w:r>
      <w:r>
        <w:rPr>
          <w:rFonts w:asciiTheme="majorHAnsi" w:hAnsiTheme="majorHAnsi" w:cstheme="majorHAnsi"/>
        </w:rPr>
        <w:lastRenderedPageBreak/>
        <w:t>and $750 million. A</w:t>
      </w:r>
      <w:r>
        <w:rPr>
          <w:rFonts w:asciiTheme="majorHAnsi" w:hAnsiTheme="majorHAnsi" w:cstheme="majorHAnsi"/>
          <w:iCs/>
        </w:rPr>
        <w:t xml:space="preserve">s Judge Posner observed, </w:t>
      </w:r>
      <w:r>
        <w:rPr>
          <w:rFonts w:asciiTheme="majorHAnsi" w:hAnsiTheme="majorHAnsi" w:cstheme="majorHAnsi"/>
        </w:rPr>
        <w:t xml:space="preserve">“Some statutes, such as the Fair Debt Collection Practices Act and the Truth in Lending Act, cap damages . . . . The Telephone Consumer Protection Act does not.” </w:t>
      </w:r>
      <w:r>
        <w:rPr>
          <w:rFonts w:asciiTheme="majorHAnsi" w:hAnsiTheme="majorHAnsi" w:cstheme="majorHAnsi"/>
          <w:i/>
        </w:rPr>
        <w:t>Id.</w:t>
      </w:r>
    </w:p>
    <w:p>
      <w:pPr>
        <w:spacing w:after="0" w:line="480" w:lineRule="auto"/>
        <w:ind w:firstLine="720"/>
      </w:pPr>
      <w:r>
        <w:rPr>
          <w:rFonts w:asciiTheme="majorHAnsi" w:hAnsiTheme="majorHAnsi" w:cstheme="majorHAnsi"/>
        </w:rPr>
        <w:t xml:space="preserve">Further compounding the risk to companies that run afoul of the </w:t>
      </w:r>
      <w:proofErr w:type="spellStart"/>
      <w:r>
        <w:rPr>
          <w:rFonts w:asciiTheme="majorHAnsi" w:hAnsiTheme="majorHAnsi" w:cstheme="majorHAnsi"/>
        </w:rPr>
        <w:t>TCPA</w:t>
      </w:r>
      <w:proofErr w:type="spellEnd"/>
      <w:r>
        <w:rPr>
          <w:rFonts w:asciiTheme="majorHAnsi" w:hAnsiTheme="majorHAnsi" w:cstheme="majorHAnsi"/>
        </w:rPr>
        <w:t xml:space="preserve">, some courts like the Sixth Circuit Court of Appeals haves held that </w:t>
      </w:r>
      <w:r>
        <w:t>a person may recover statutory damages of $1,500 for a willful or knowing violation of the automated-call requirements under 227(b</w:t>
      </w:r>
      <w:proofErr w:type="gramStart"/>
      <w:r>
        <w:t>)(</w:t>
      </w:r>
      <w:proofErr w:type="gramEnd"/>
      <w:r>
        <w:t xml:space="preserve">3), </w:t>
      </w:r>
      <w:r>
        <w:rPr>
          <w:i/>
        </w:rPr>
        <w:t>plus</w:t>
      </w:r>
      <w:r>
        <w:t xml:space="preserve"> $1,500 for a willful or knowing violation of the do-not-call-list requirements in Section 227(c)(5)  – even if both violations occurred in the same telephone call.  </w:t>
      </w:r>
      <w:proofErr w:type="spellStart"/>
      <w:proofErr w:type="gramStart"/>
      <w:r>
        <w:rPr>
          <w:i/>
        </w:rPr>
        <w:t>Charvat</w:t>
      </w:r>
      <w:proofErr w:type="spellEnd"/>
      <w:r>
        <w:rPr>
          <w:i/>
        </w:rPr>
        <w:t xml:space="preserve"> v. </w:t>
      </w:r>
      <w:proofErr w:type="spellStart"/>
      <w:r>
        <w:rPr>
          <w:i/>
        </w:rPr>
        <w:t>NMP</w:t>
      </w:r>
      <w:proofErr w:type="spellEnd"/>
      <w:r>
        <w:rPr>
          <w:i/>
        </w:rPr>
        <w:t>, LLC</w:t>
      </w:r>
      <w:r>
        <w:t xml:space="preserve">, 656 </w:t>
      </w:r>
      <w:proofErr w:type="spellStart"/>
      <w:r>
        <w:t>F.3d</w:t>
      </w:r>
      <w:proofErr w:type="spellEnd"/>
      <w:r>
        <w:t xml:space="preserve"> 440, 449 (6th Cir. 2011).</w:t>
      </w:r>
      <w:proofErr w:type="gramEnd"/>
    </w:p>
    <w:p>
      <w:pPr>
        <w:spacing w:after="0" w:line="480" w:lineRule="auto"/>
        <w:rPr>
          <w:rFonts w:asciiTheme="majorHAnsi" w:hAnsiTheme="majorHAnsi" w:cstheme="majorHAnsi"/>
          <w:b/>
          <w:u w:val="single"/>
        </w:rPr>
      </w:pPr>
      <w:r>
        <w:rPr>
          <w:rFonts w:asciiTheme="majorHAnsi" w:hAnsiTheme="majorHAnsi" w:cstheme="majorHAnsi"/>
          <w:b/>
        </w:rPr>
        <w:tab/>
        <w:t>C.</w:t>
      </w:r>
      <w:r>
        <w:rPr>
          <w:rFonts w:asciiTheme="majorHAnsi" w:hAnsiTheme="majorHAnsi" w:cstheme="majorHAnsi"/>
          <w:b/>
        </w:rPr>
        <w:tab/>
      </w:r>
      <w:r>
        <w:rPr>
          <w:rFonts w:asciiTheme="majorHAnsi" w:hAnsiTheme="majorHAnsi" w:cstheme="majorHAnsi"/>
          <w:b/>
          <w:u w:val="single"/>
        </w:rPr>
        <w:t xml:space="preserve">Notable Recent </w:t>
      </w:r>
      <w:proofErr w:type="spellStart"/>
      <w:r>
        <w:rPr>
          <w:rFonts w:asciiTheme="majorHAnsi" w:hAnsiTheme="majorHAnsi" w:cstheme="majorHAnsi"/>
          <w:b/>
          <w:u w:val="single"/>
        </w:rPr>
        <w:t>TCPA</w:t>
      </w:r>
      <w:proofErr w:type="spellEnd"/>
      <w:r>
        <w:rPr>
          <w:rFonts w:asciiTheme="majorHAnsi" w:hAnsiTheme="majorHAnsi" w:cstheme="majorHAnsi"/>
          <w:b/>
          <w:u w:val="single"/>
        </w:rPr>
        <w:t xml:space="preserve"> Settlements</w:t>
      </w:r>
    </w:p>
    <w:p>
      <w:pPr>
        <w:spacing w:after="0" w:line="480" w:lineRule="auto"/>
        <w:rPr>
          <w:rFonts w:asciiTheme="majorHAnsi" w:hAnsiTheme="majorHAnsi" w:cstheme="majorHAnsi"/>
        </w:rPr>
      </w:pPr>
      <w:r>
        <w:rPr>
          <w:rFonts w:asciiTheme="majorHAnsi" w:hAnsiTheme="majorHAnsi" w:cstheme="majorHAnsi"/>
        </w:rPr>
        <w:tab/>
        <w:t xml:space="preserve">In case a client needs to be convinced that it should take seriously the need to comply with the </w:t>
      </w:r>
      <w:proofErr w:type="spellStart"/>
      <w:r>
        <w:rPr>
          <w:rFonts w:asciiTheme="majorHAnsi" w:hAnsiTheme="majorHAnsi" w:cstheme="majorHAnsi"/>
        </w:rPr>
        <w:t>TCPA</w:t>
      </w:r>
      <w:proofErr w:type="spellEnd"/>
      <w:r>
        <w:rPr>
          <w:rFonts w:asciiTheme="majorHAnsi" w:hAnsiTheme="majorHAnsi" w:cstheme="majorHAnsi"/>
        </w:rPr>
        <w:t xml:space="preserve"> and operative regulations, a sampling of only some of the notable </w:t>
      </w:r>
      <w:proofErr w:type="spellStart"/>
      <w:r>
        <w:rPr>
          <w:rFonts w:asciiTheme="majorHAnsi" w:hAnsiTheme="majorHAnsi" w:cstheme="majorHAnsi"/>
        </w:rPr>
        <w:t>TCPA</w:t>
      </w:r>
      <w:proofErr w:type="spellEnd"/>
      <w:r>
        <w:rPr>
          <w:rFonts w:asciiTheme="majorHAnsi" w:hAnsiTheme="majorHAnsi" w:cstheme="majorHAnsi"/>
        </w:rPr>
        <w:t xml:space="preserve"> settlements reported over the last few years should be enough to convince even the most reluctant client.</w:t>
      </w:r>
    </w:p>
    <w:tbl>
      <w:tblPr>
        <w:tblStyle w:val="TableGrid"/>
        <w:tblW w:w="9378" w:type="dxa"/>
        <w:tblLook w:val="04A0" w:firstRow="1" w:lastRow="0" w:firstColumn="1" w:lastColumn="0" w:noHBand="0" w:noVBand="1"/>
      </w:tblPr>
      <w:tblGrid>
        <w:gridCol w:w="1818"/>
        <w:gridCol w:w="2070"/>
        <w:gridCol w:w="3510"/>
        <w:gridCol w:w="1980"/>
      </w:tblGrid>
      <w:tr>
        <w:tc>
          <w:tcPr>
            <w:tcW w:w="1818" w:type="dxa"/>
          </w:tcPr>
          <w:p>
            <w:pPr>
              <w:jc w:val="center"/>
              <w:rPr>
                <w:rFonts w:asciiTheme="minorHAnsi" w:hAnsiTheme="minorHAnsi"/>
                <w:b/>
                <w:sz w:val="22"/>
                <w:szCs w:val="22"/>
              </w:rPr>
            </w:pPr>
            <w:r>
              <w:rPr>
                <w:rFonts w:asciiTheme="minorHAnsi" w:hAnsiTheme="minorHAnsi"/>
                <w:b/>
                <w:sz w:val="22"/>
                <w:szCs w:val="22"/>
              </w:rPr>
              <w:t>Date</w:t>
            </w:r>
          </w:p>
        </w:tc>
        <w:tc>
          <w:tcPr>
            <w:tcW w:w="2070" w:type="dxa"/>
          </w:tcPr>
          <w:p>
            <w:pPr>
              <w:jc w:val="center"/>
              <w:rPr>
                <w:rFonts w:asciiTheme="minorHAnsi" w:hAnsiTheme="minorHAnsi"/>
                <w:b/>
                <w:sz w:val="22"/>
                <w:szCs w:val="22"/>
              </w:rPr>
            </w:pPr>
            <w:r>
              <w:rPr>
                <w:rFonts w:asciiTheme="minorHAnsi" w:hAnsiTheme="minorHAnsi"/>
                <w:b/>
                <w:sz w:val="22"/>
                <w:szCs w:val="22"/>
              </w:rPr>
              <w:t>Amount</w:t>
            </w:r>
          </w:p>
        </w:tc>
        <w:tc>
          <w:tcPr>
            <w:tcW w:w="3510" w:type="dxa"/>
          </w:tcPr>
          <w:p>
            <w:pPr>
              <w:jc w:val="center"/>
              <w:rPr>
                <w:rFonts w:asciiTheme="minorHAnsi" w:hAnsiTheme="minorHAnsi"/>
                <w:b/>
                <w:sz w:val="22"/>
                <w:szCs w:val="22"/>
              </w:rPr>
            </w:pPr>
            <w:r>
              <w:rPr>
                <w:rFonts w:asciiTheme="minorHAnsi" w:hAnsiTheme="minorHAnsi"/>
                <w:b/>
                <w:sz w:val="22"/>
                <w:szCs w:val="22"/>
              </w:rPr>
              <w:t>Company</w:t>
            </w:r>
          </w:p>
        </w:tc>
        <w:tc>
          <w:tcPr>
            <w:tcW w:w="1980" w:type="dxa"/>
          </w:tcPr>
          <w:p>
            <w:pPr>
              <w:jc w:val="center"/>
              <w:rPr>
                <w:rFonts w:asciiTheme="minorHAnsi" w:hAnsiTheme="minorHAnsi"/>
                <w:b/>
                <w:sz w:val="22"/>
                <w:szCs w:val="22"/>
              </w:rPr>
            </w:pPr>
            <w:r>
              <w:rPr>
                <w:rFonts w:asciiTheme="minorHAnsi" w:hAnsiTheme="minorHAnsi"/>
                <w:b/>
                <w:sz w:val="22"/>
                <w:szCs w:val="22"/>
              </w:rPr>
              <w:t>State</w:t>
            </w:r>
          </w:p>
        </w:tc>
      </w:tr>
      <w:tr>
        <w:tc>
          <w:tcPr>
            <w:tcW w:w="1818" w:type="dxa"/>
          </w:tcPr>
          <w:p>
            <w:pPr>
              <w:rPr>
                <w:rFonts w:asciiTheme="minorHAnsi" w:hAnsiTheme="minorHAnsi"/>
                <w:sz w:val="22"/>
                <w:szCs w:val="22"/>
              </w:rPr>
            </w:pPr>
            <w:r>
              <w:rPr>
                <w:sz w:val="22"/>
                <w:szCs w:val="22"/>
              </w:rPr>
              <w:t>9/2016</w:t>
            </w:r>
          </w:p>
        </w:tc>
        <w:tc>
          <w:tcPr>
            <w:tcW w:w="2070" w:type="dxa"/>
          </w:tcPr>
          <w:p>
            <w:pPr>
              <w:rPr>
                <w:rFonts w:asciiTheme="minorHAnsi" w:hAnsiTheme="minorHAnsi"/>
                <w:sz w:val="22"/>
                <w:szCs w:val="22"/>
              </w:rPr>
            </w:pPr>
            <w:r>
              <w:rPr>
                <w:sz w:val="22"/>
                <w:szCs w:val="22"/>
              </w:rPr>
              <w:t>$56 million -         $76 million</w:t>
            </w:r>
          </w:p>
        </w:tc>
        <w:tc>
          <w:tcPr>
            <w:tcW w:w="3510" w:type="dxa"/>
          </w:tcPr>
          <w:p>
            <w:pPr>
              <w:rPr>
                <w:rFonts w:asciiTheme="minorHAnsi" w:hAnsiTheme="minorHAnsi"/>
                <w:sz w:val="22"/>
                <w:szCs w:val="22"/>
              </w:rPr>
            </w:pPr>
            <w:r>
              <w:rPr>
                <w:sz w:val="22"/>
                <w:szCs w:val="22"/>
              </w:rPr>
              <w:t>Caribbean Cruise Line Inc., Berkley Group, Inc. and Vacation Ownership Marketing Tours Inc.</w:t>
            </w:r>
          </w:p>
        </w:tc>
        <w:tc>
          <w:tcPr>
            <w:tcW w:w="1980" w:type="dxa"/>
          </w:tcPr>
          <w:p>
            <w:pPr>
              <w:rPr>
                <w:rFonts w:asciiTheme="minorHAnsi" w:hAnsiTheme="minorHAnsi"/>
                <w:sz w:val="22"/>
                <w:szCs w:val="22"/>
              </w:rPr>
            </w:pPr>
            <w:r>
              <w:rPr>
                <w:rFonts w:asciiTheme="minorHAnsi" w:hAnsiTheme="minorHAnsi"/>
                <w:sz w:val="22"/>
                <w:szCs w:val="22"/>
              </w:rPr>
              <w:t xml:space="preserve">Illinois </w:t>
            </w:r>
          </w:p>
        </w:tc>
      </w:tr>
      <w:tr>
        <w:tc>
          <w:tcPr>
            <w:tcW w:w="1818" w:type="dxa"/>
          </w:tcPr>
          <w:p>
            <w:pPr>
              <w:rPr>
                <w:sz w:val="22"/>
                <w:szCs w:val="22"/>
              </w:rPr>
            </w:pPr>
            <w:r>
              <w:rPr>
                <w:sz w:val="22"/>
                <w:szCs w:val="22"/>
              </w:rPr>
              <w:t>9/2016</w:t>
            </w:r>
          </w:p>
        </w:tc>
        <w:tc>
          <w:tcPr>
            <w:tcW w:w="2070" w:type="dxa"/>
          </w:tcPr>
          <w:p>
            <w:pPr>
              <w:rPr>
                <w:sz w:val="22"/>
                <w:szCs w:val="22"/>
              </w:rPr>
            </w:pPr>
            <w:r>
              <w:rPr>
                <w:sz w:val="22"/>
                <w:szCs w:val="22"/>
              </w:rPr>
              <w:t>$2.75 million</w:t>
            </w:r>
          </w:p>
        </w:tc>
        <w:tc>
          <w:tcPr>
            <w:tcW w:w="3510" w:type="dxa"/>
          </w:tcPr>
          <w:p>
            <w:pPr>
              <w:rPr>
                <w:sz w:val="22"/>
                <w:szCs w:val="22"/>
              </w:rPr>
            </w:pPr>
            <w:r>
              <w:rPr>
                <w:sz w:val="22"/>
                <w:szCs w:val="22"/>
              </w:rPr>
              <w:t>Navy Federal Credit Union</w:t>
            </w:r>
          </w:p>
        </w:tc>
        <w:tc>
          <w:tcPr>
            <w:tcW w:w="1980" w:type="dxa"/>
          </w:tcPr>
          <w:p>
            <w:pPr>
              <w:rPr>
                <w:rFonts w:asciiTheme="minorHAnsi" w:hAnsiTheme="minorHAnsi"/>
                <w:sz w:val="22"/>
                <w:szCs w:val="22"/>
              </w:rPr>
            </w:pPr>
            <w:r>
              <w:rPr>
                <w:sz w:val="22"/>
                <w:szCs w:val="22"/>
              </w:rPr>
              <w:t xml:space="preserve">California </w:t>
            </w:r>
          </w:p>
        </w:tc>
      </w:tr>
      <w:tr>
        <w:tc>
          <w:tcPr>
            <w:tcW w:w="1818" w:type="dxa"/>
          </w:tcPr>
          <w:p>
            <w:pPr>
              <w:rPr>
                <w:sz w:val="22"/>
                <w:szCs w:val="22"/>
              </w:rPr>
            </w:pPr>
            <w:r>
              <w:rPr>
                <w:sz w:val="22"/>
                <w:szCs w:val="22"/>
              </w:rPr>
              <w:t>9/2016</w:t>
            </w:r>
          </w:p>
        </w:tc>
        <w:tc>
          <w:tcPr>
            <w:tcW w:w="2070" w:type="dxa"/>
          </w:tcPr>
          <w:p>
            <w:pPr>
              <w:rPr>
                <w:sz w:val="22"/>
                <w:szCs w:val="22"/>
              </w:rPr>
            </w:pPr>
            <w:r>
              <w:rPr>
                <w:sz w:val="22"/>
                <w:szCs w:val="22"/>
              </w:rPr>
              <w:t>$10.5 million</w:t>
            </w:r>
          </w:p>
        </w:tc>
        <w:tc>
          <w:tcPr>
            <w:tcW w:w="3510" w:type="dxa"/>
          </w:tcPr>
          <w:p>
            <w:pPr>
              <w:rPr>
                <w:sz w:val="22"/>
                <w:szCs w:val="22"/>
              </w:rPr>
            </w:pPr>
            <w:r>
              <w:rPr>
                <w:sz w:val="22"/>
                <w:szCs w:val="22"/>
              </w:rPr>
              <w:t>Dun &amp; Bradstreet</w:t>
            </w:r>
          </w:p>
        </w:tc>
        <w:tc>
          <w:tcPr>
            <w:tcW w:w="1980" w:type="dxa"/>
          </w:tcPr>
          <w:p>
            <w:pPr>
              <w:rPr>
                <w:rFonts w:asciiTheme="minorHAnsi" w:hAnsiTheme="minorHAnsi"/>
                <w:sz w:val="22"/>
                <w:szCs w:val="22"/>
              </w:rPr>
            </w:pPr>
            <w:r>
              <w:rPr>
                <w:sz w:val="22"/>
                <w:szCs w:val="22"/>
              </w:rPr>
              <w:t xml:space="preserve">California </w:t>
            </w:r>
          </w:p>
        </w:tc>
      </w:tr>
      <w:tr>
        <w:tc>
          <w:tcPr>
            <w:tcW w:w="1818" w:type="dxa"/>
          </w:tcPr>
          <w:p>
            <w:pPr>
              <w:rPr>
                <w:sz w:val="22"/>
                <w:szCs w:val="22"/>
              </w:rPr>
            </w:pPr>
            <w:r>
              <w:rPr>
                <w:sz w:val="22"/>
                <w:szCs w:val="22"/>
              </w:rPr>
              <w:t>8/2016</w:t>
            </w:r>
          </w:p>
        </w:tc>
        <w:tc>
          <w:tcPr>
            <w:tcW w:w="2070" w:type="dxa"/>
          </w:tcPr>
          <w:p>
            <w:pPr>
              <w:rPr>
                <w:sz w:val="22"/>
                <w:szCs w:val="22"/>
              </w:rPr>
            </w:pPr>
            <w:r>
              <w:rPr>
                <w:sz w:val="22"/>
                <w:szCs w:val="22"/>
              </w:rPr>
              <w:t>$30 million</w:t>
            </w:r>
          </w:p>
        </w:tc>
        <w:tc>
          <w:tcPr>
            <w:tcW w:w="3510" w:type="dxa"/>
          </w:tcPr>
          <w:p>
            <w:pPr>
              <w:tabs>
                <w:tab w:val="left" w:pos="1860"/>
              </w:tabs>
              <w:rPr>
                <w:sz w:val="22"/>
                <w:szCs w:val="22"/>
              </w:rPr>
            </w:pPr>
            <w:r>
              <w:rPr>
                <w:sz w:val="22"/>
                <w:szCs w:val="22"/>
              </w:rPr>
              <w:t>Wells Fargo</w:t>
            </w:r>
            <w:r>
              <w:rPr>
                <w:sz w:val="22"/>
                <w:szCs w:val="22"/>
              </w:rPr>
              <w:tab/>
            </w:r>
          </w:p>
        </w:tc>
        <w:tc>
          <w:tcPr>
            <w:tcW w:w="1980" w:type="dxa"/>
          </w:tcPr>
          <w:p>
            <w:pPr>
              <w:rPr>
                <w:rFonts w:asciiTheme="minorHAnsi" w:hAnsiTheme="minorHAnsi"/>
                <w:sz w:val="22"/>
                <w:szCs w:val="22"/>
              </w:rPr>
            </w:pPr>
            <w:r>
              <w:rPr>
                <w:sz w:val="22"/>
                <w:szCs w:val="22"/>
              </w:rPr>
              <w:t xml:space="preserve">Georgia </w:t>
            </w:r>
          </w:p>
        </w:tc>
      </w:tr>
      <w:tr>
        <w:tc>
          <w:tcPr>
            <w:tcW w:w="1818" w:type="dxa"/>
          </w:tcPr>
          <w:p>
            <w:pPr>
              <w:rPr>
                <w:sz w:val="22"/>
                <w:szCs w:val="22"/>
              </w:rPr>
            </w:pPr>
            <w:r>
              <w:rPr>
                <w:sz w:val="22"/>
                <w:szCs w:val="22"/>
              </w:rPr>
              <w:t>8/2016</w:t>
            </w:r>
          </w:p>
        </w:tc>
        <w:tc>
          <w:tcPr>
            <w:tcW w:w="2070" w:type="dxa"/>
          </w:tcPr>
          <w:p>
            <w:pPr>
              <w:rPr>
                <w:sz w:val="22"/>
                <w:szCs w:val="22"/>
              </w:rPr>
            </w:pPr>
            <w:r>
              <w:rPr>
                <w:sz w:val="22"/>
                <w:szCs w:val="22"/>
              </w:rPr>
              <w:t>$35 million</w:t>
            </w:r>
          </w:p>
        </w:tc>
        <w:tc>
          <w:tcPr>
            <w:tcW w:w="3510" w:type="dxa"/>
          </w:tcPr>
          <w:p>
            <w:pPr>
              <w:rPr>
                <w:sz w:val="22"/>
                <w:szCs w:val="22"/>
              </w:rPr>
            </w:pPr>
            <w:proofErr w:type="spellStart"/>
            <w:r>
              <w:rPr>
                <w:sz w:val="22"/>
                <w:szCs w:val="22"/>
              </w:rPr>
              <w:t>SiriusXM</w:t>
            </w:r>
            <w:proofErr w:type="spellEnd"/>
          </w:p>
        </w:tc>
        <w:tc>
          <w:tcPr>
            <w:tcW w:w="1980" w:type="dxa"/>
          </w:tcPr>
          <w:p>
            <w:pPr>
              <w:rPr>
                <w:rFonts w:asciiTheme="minorHAnsi" w:hAnsiTheme="minorHAnsi"/>
                <w:sz w:val="22"/>
                <w:szCs w:val="22"/>
              </w:rPr>
            </w:pPr>
            <w:r>
              <w:rPr>
                <w:sz w:val="22"/>
                <w:szCs w:val="22"/>
              </w:rPr>
              <w:t xml:space="preserve">Virginia </w:t>
            </w:r>
          </w:p>
        </w:tc>
      </w:tr>
      <w:tr>
        <w:tc>
          <w:tcPr>
            <w:tcW w:w="1818" w:type="dxa"/>
          </w:tcPr>
          <w:p>
            <w:pPr>
              <w:rPr>
                <w:sz w:val="22"/>
                <w:szCs w:val="22"/>
              </w:rPr>
            </w:pPr>
            <w:r>
              <w:rPr>
                <w:sz w:val="22"/>
                <w:szCs w:val="22"/>
              </w:rPr>
              <w:t>8/2016</w:t>
            </w:r>
          </w:p>
        </w:tc>
        <w:tc>
          <w:tcPr>
            <w:tcW w:w="2070" w:type="dxa"/>
          </w:tcPr>
          <w:p>
            <w:pPr>
              <w:rPr>
                <w:sz w:val="22"/>
                <w:szCs w:val="22"/>
              </w:rPr>
            </w:pPr>
            <w:r>
              <w:rPr>
                <w:sz w:val="22"/>
                <w:szCs w:val="22"/>
              </w:rPr>
              <w:t>$7 million</w:t>
            </w:r>
          </w:p>
        </w:tc>
        <w:tc>
          <w:tcPr>
            <w:tcW w:w="3510" w:type="dxa"/>
          </w:tcPr>
          <w:p>
            <w:pPr>
              <w:rPr>
                <w:sz w:val="22"/>
                <w:szCs w:val="22"/>
              </w:rPr>
            </w:pPr>
            <w:r>
              <w:rPr>
                <w:sz w:val="22"/>
                <w:szCs w:val="22"/>
              </w:rPr>
              <w:t>State Farm</w:t>
            </w:r>
          </w:p>
        </w:tc>
        <w:tc>
          <w:tcPr>
            <w:tcW w:w="1980" w:type="dxa"/>
          </w:tcPr>
          <w:p>
            <w:pPr>
              <w:rPr>
                <w:rFonts w:asciiTheme="minorHAnsi" w:hAnsiTheme="minorHAnsi"/>
                <w:sz w:val="22"/>
                <w:szCs w:val="22"/>
              </w:rPr>
            </w:pPr>
            <w:r>
              <w:rPr>
                <w:sz w:val="22"/>
                <w:szCs w:val="22"/>
              </w:rPr>
              <w:t xml:space="preserve">Illinois </w:t>
            </w:r>
          </w:p>
        </w:tc>
      </w:tr>
      <w:tr>
        <w:tc>
          <w:tcPr>
            <w:tcW w:w="1818" w:type="dxa"/>
          </w:tcPr>
          <w:p>
            <w:pPr>
              <w:rPr>
                <w:sz w:val="22"/>
                <w:szCs w:val="22"/>
              </w:rPr>
            </w:pPr>
            <w:r>
              <w:rPr>
                <w:sz w:val="22"/>
                <w:szCs w:val="22"/>
              </w:rPr>
              <w:t>7/2016</w:t>
            </w:r>
          </w:p>
        </w:tc>
        <w:tc>
          <w:tcPr>
            <w:tcW w:w="2070" w:type="dxa"/>
          </w:tcPr>
          <w:p>
            <w:pPr>
              <w:rPr>
                <w:sz w:val="22"/>
                <w:szCs w:val="22"/>
              </w:rPr>
            </w:pPr>
            <w:r>
              <w:rPr>
                <w:sz w:val="22"/>
                <w:szCs w:val="22"/>
              </w:rPr>
              <w:t>$20.5 million</w:t>
            </w:r>
          </w:p>
        </w:tc>
        <w:tc>
          <w:tcPr>
            <w:tcW w:w="3510" w:type="dxa"/>
          </w:tcPr>
          <w:p>
            <w:pPr>
              <w:rPr>
                <w:sz w:val="22"/>
                <w:szCs w:val="22"/>
              </w:rPr>
            </w:pPr>
            <w:r>
              <w:rPr>
                <w:sz w:val="22"/>
                <w:szCs w:val="22"/>
              </w:rPr>
              <w:t>Midland Credit Management Inc.</w:t>
            </w:r>
          </w:p>
        </w:tc>
        <w:tc>
          <w:tcPr>
            <w:tcW w:w="1980" w:type="dxa"/>
          </w:tcPr>
          <w:p>
            <w:pPr>
              <w:rPr>
                <w:rFonts w:asciiTheme="minorHAnsi" w:hAnsiTheme="minorHAnsi"/>
                <w:sz w:val="22"/>
                <w:szCs w:val="22"/>
              </w:rPr>
            </w:pPr>
            <w:r>
              <w:rPr>
                <w:sz w:val="22"/>
                <w:szCs w:val="22"/>
              </w:rPr>
              <w:t xml:space="preserve">California </w:t>
            </w:r>
          </w:p>
        </w:tc>
      </w:tr>
      <w:tr>
        <w:tc>
          <w:tcPr>
            <w:tcW w:w="1818" w:type="dxa"/>
          </w:tcPr>
          <w:p>
            <w:pPr>
              <w:rPr>
                <w:sz w:val="22"/>
                <w:szCs w:val="22"/>
              </w:rPr>
            </w:pPr>
            <w:r>
              <w:rPr>
                <w:sz w:val="22"/>
                <w:szCs w:val="22"/>
              </w:rPr>
              <w:t>7/2016</w:t>
            </w:r>
          </w:p>
        </w:tc>
        <w:tc>
          <w:tcPr>
            <w:tcW w:w="2070" w:type="dxa"/>
          </w:tcPr>
          <w:p>
            <w:pPr>
              <w:rPr>
                <w:sz w:val="22"/>
                <w:szCs w:val="22"/>
              </w:rPr>
            </w:pPr>
            <w:r>
              <w:rPr>
                <w:sz w:val="22"/>
                <w:szCs w:val="22"/>
              </w:rPr>
              <w:t>$1.5 million</w:t>
            </w:r>
          </w:p>
        </w:tc>
        <w:tc>
          <w:tcPr>
            <w:tcW w:w="3510" w:type="dxa"/>
          </w:tcPr>
          <w:p>
            <w:pPr>
              <w:rPr>
                <w:sz w:val="22"/>
                <w:szCs w:val="22"/>
              </w:rPr>
            </w:pPr>
            <w:r>
              <w:rPr>
                <w:sz w:val="22"/>
                <w:szCs w:val="22"/>
              </w:rPr>
              <w:t xml:space="preserve">JPMorgan </w:t>
            </w:r>
          </w:p>
        </w:tc>
        <w:tc>
          <w:tcPr>
            <w:tcW w:w="1980" w:type="dxa"/>
          </w:tcPr>
          <w:p>
            <w:pPr>
              <w:rPr>
                <w:rFonts w:asciiTheme="minorHAnsi" w:hAnsiTheme="minorHAnsi"/>
                <w:sz w:val="22"/>
                <w:szCs w:val="22"/>
              </w:rPr>
            </w:pPr>
            <w:r>
              <w:rPr>
                <w:sz w:val="22"/>
                <w:szCs w:val="22"/>
              </w:rPr>
              <w:t xml:space="preserve">Illinois </w:t>
            </w:r>
          </w:p>
        </w:tc>
      </w:tr>
      <w:tr>
        <w:tc>
          <w:tcPr>
            <w:tcW w:w="1818" w:type="dxa"/>
          </w:tcPr>
          <w:p>
            <w:pPr>
              <w:rPr>
                <w:sz w:val="22"/>
                <w:szCs w:val="22"/>
              </w:rPr>
            </w:pPr>
            <w:r>
              <w:rPr>
                <w:sz w:val="22"/>
                <w:szCs w:val="22"/>
              </w:rPr>
              <w:lastRenderedPageBreak/>
              <w:t>7/2016</w:t>
            </w:r>
          </w:p>
        </w:tc>
        <w:tc>
          <w:tcPr>
            <w:tcW w:w="2070" w:type="dxa"/>
          </w:tcPr>
          <w:p>
            <w:pPr>
              <w:rPr>
                <w:sz w:val="22"/>
                <w:szCs w:val="22"/>
              </w:rPr>
            </w:pPr>
            <w:r>
              <w:rPr>
                <w:sz w:val="22"/>
                <w:szCs w:val="22"/>
              </w:rPr>
              <w:t>$9 million</w:t>
            </w:r>
          </w:p>
        </w:tc>
        <w:tc>
          <w:tcPr>
            <w:tcW w:w="3510" w:type="dxa"/>
          </w:tcPr>
          <w:p>
            <w:pPr>
              <w:rPr>
                <w:sz w:val="22"/>
                <w:szCs w:val="22"/>
              </w:rPr>
            </w:pPr>
            <w:r>
              <w:rPr>
                <w:sz w:val="22"/>
                <w:szCs w:val="22"/>
              </w:rPr>
              <w:t>American Express</w:t>
            </w:r>
          </w:p>
        </w:tc>
        <w:tc>
          <w:tcPr>
            <w:tcW w:w="1980" w:type="dxa"/>
          </w:tcPr>
          <w:p>
            <w:pPr>
              <w:rPr>
                <w:rFonts w:asciiTheme="minorHAnsi" w:hAnsiTheme="minorHAnsi"/>
                <w:sz w:val="22"/>
                <w:szCs w:val="22"/>
              </w:rPr>
            </w:pPr>
            <w:r>
              <w:rPr>
                <w:sz w:val="22"/>
                <w:szCs w:val="22"/>
              </w:rPr>
              <w:t xml:space="preserve">Illinois </w:t>
            </w:r>
          </w:p>
        </w:tc>
      </w:tr>
      <w:tr>
        <w:tc>
          <w:tcPr>
            <w:tcW w:w="1818" w:type="dxa"/>
          </w:tcPr>
          <w:p>
            <w:pPr>
              <w:rPr>
                <w:sz w:val="22"/>
                <w:szCs w:val="22"/>
              </w:rPr>
            </w:pPr>
            <w:r>
              <w:rPr>
                <w:sz w:val="22"/>
                <w:szCs w:val="22"/>
              </w:rPr>
              <w:t>7/2016</w:t>
            </w:r>
          </w:p>
        </w:tc>
        <w:tc>
          <w:tcPr>
            <w:tcW w:w="2070" w:type="dxa"/>
          </w:tcPr>
          <w:p>
            <w:pPr>
              <w:rPr>
                <w:sz w:val="22"/>
                <w:szCs w:val="22"/>
              </w:rPr>
            </w:pPr>
            <w:r>
              <w:rPr>
                <w:sz w:val="22"/>
                <w:szCs w:val="22"/>
              </w:rPr>
              <w:t>$4.5 million</w:t>
            </w:r>
          </w:p>
        </w:tc>
        <w:tc>
          <w:tcPr>
            <w:tcW w:w="3510" w:type="dxa"/>
          </w:tcPr>
          <w:p>
            <w:pPr>
              <w:rPr>
                <w:sz w:val="22"/>
                <w:szCs w:val="22"/>
              </w:rPr>
            </w:pPr>
            <w:r>
              <w:rPr>
                <w:sz w:val="22"/>
                <w:szCs w:val="22"/>
              </w:rPr>
              <w:t>Citizens Bank</w:t>
            </w:r>
          </w:p>
        </w:tc>
        <w:tc>
          <w:tcPr>
            <w:tcW w:w="1980" w:type="dxa"/>
          </w:tcPr>
          <w:p>
            <w:pPr>
              <w:rPr>
                <w:rFonts w:asciiTheme="minorHAnsi" w:hAnsiTheme="minorHAnsi"/>
                <w:sz w:val="22"/>
                <w:szCs w:val="22"/>
              </w:rPr>
            </w:pPr>
            <w:r>
              <w:rPr>
                <w:sz w:val="22"/>
                <w:szCs w:val="22"/>
              </w:rPr>
              <w:t xml:space="preserve">California </w:t>
            </w:r>
          </w:p>
        </w:tc>
      </w:tr>
      <w:tr>
        <w:tc>
          <w:tcPr>
            <w:tcW w:w="1818" w:type="dxa"/>
          </w:tcPr>
          <w:p>
            <w:pPr>
              <w:rPr>
                <w:sz w:val="22"/>
                <w:szCs w:val="22"/>
              </w:rPr>
            </w:pPr>
            <w:r>
              <w:rPr>
                <w:sz w:val="22"/>
                <w:szCs w:val="22"/>
              </w:rPr>
              <w:t>7/2016</w:t>
            </w:r>
          </w:p>
        </w:tc>
        <w:tc>
          <w:tcPr>
            <w:tcW w:w="2070" w:type="dxa"/>
          </w:tcPr>
          <w:p>
            <w:pPr>
              <w:rPr>
                <w:sz w:val="22"/>
                <w:szCs w:val="22"/>
              </w:rPr>
            </w:pPr>
            <w:r>
              <w:rPr>
                <w:sz w:val="22"/>
                <w:szCs w:val="22"/>
              </w:rPr>
              <w:t>$16.3 million</w:t>
            </w:r>
          </w:p>
        </w:tc>
        <w:tc>
          <w:tcPr>
            <w:tcW w:w="3510" w:type="dxa"/>
          </w:tcPr>
          <w:p>
            <w:pPr>
              <w:rPr>
                <w:sz w:val="22"/>
                <w:szCs w:val="22"/>
              </w:rPr>
            </w:pPr>
            <w:r>
              <w:rPr>
                <w:sz w:val="22"/>
                <w:szCs w:val="22"/>
              </w:rPr>
              <w:t>Wells Fargo</w:t>
            </w:r>
          </w:p>
        </w:tc>
        <w:tc>
          <w:tcPr>
            <w:tcW w:w="1980" w:type="dxa"/>
          </w:tcPr>
          <w:p>
            <w:pPr>
              <w:rPr>
                <w:rFonts w:asciiTheme="minorHAnsi" w:hAnsiTheme="minorHAnsi"/>
                <w:sz w:val="22"/>
                <w:szCs w:val="22"/>
              </w:rPr>
            </w:pPr>
            <w:r>
              <w:rPr>
                <w:sz w:val="22"/>
                <w:szCs w:val="22"/>
              </w:rPr>
              <w:t xml:space="preserve">Georgia </w:t>
            </w:r>
          </w:p>
        </w:tc>
      </w:tr>
      <w:tr>
        <w:tc>
          <w:tcPr>
            <w:tcW w:w="1818" w:type="dxa"/>
          </w:tcPr>
          <w:p>
            <w:pPr>
              <w:rPr>
                <w:sz w:val="22"/>
                <w:szCs w:val="22"/>
              </w:rPr>
            </w:pPr>
            <w:r>
              <w:rPr>
                <w:sz w:val="22"/>
                <w:szCs w:val="22"/>
              </w:rPr>
              <w:t>6/2016</w:t>
            </w:r>
          </w:p>
        </w:tc>
        <w:tc>
          <w:tcPr>
            <w:tcW w:w="2070" w:type="dxa"/>
          </w:tcPr>
          <w:p>
            <w:pPr>
              <w:rPr>
                <w:sz w:val="22"/>
                <w:szCs w:val="22"/>
              </w:rPr>
            </w:pPr>
            <w:r>
              <w:rPr>
                <w:sz w:val="22"/>
                <w:szCs w:val="22"/>
              </w:rPr>
              <w:t>$3.75 million</w:t>
            </w:r>
          </w:p>
        </w:tc>
        <w:tc>
          <w:tcPr>
            <w:tcW w:w="3510" w:type="dxa"/>
          </w:tcPr>
          <w:p>
            <w:pPr>
              <w:rPr>
                <w:sz w:val="22"/>
                <w:szCs w:val="22"/>
              </w:rPr>
            </w:pPr>
            <w:r>
              <w:rPr>
                <w:sz w:val="22"/>
                <w:szCs w:val="22"/>
              </w:rPr>
              <w:t xml:space="preserve">JPMorgan Chase Bank NA </w:t>
            </w:r>
          </w:p>
        </w:tc>
        <w:tc>
          <w:tcPr>
            <w:tcW w:w="1980" w:type="dxa"/>
          </w:tcPr>
          <w:p>
            <w:pPr>
              <w:rPr>
                <w:rFonts w:asciiTheme="minorHAnsi" w:hAnsiTheme="minorHAnsi"/>
                <w:sz w:val="22"/>
                <w:szCs w:val="22"/>
              </w:rPr>
            </w:pPr>
            <w:r>
              <w:rPr>
                <w:sz w:val="22"/>
                <w:szCs w:val="22"/>
              </w:rPr>
              <w:t xml:space="preserve">Florida </w:t>
            </w:r>
          </w:p>
        </w:tc>
      </w:tr>
      <w:tr>
        <w:tc>
          <w:tcPr>
            <w:tcW w:w="1818" w:type="dxa"/>
          </w:tcPr>
          <w:p>
            <w:pPr>
              <w:rPr>
                <w:sz w:val="22"/>
                <w:szCs w:val="22"/>
              </w:rPr>
            </w:pPr>
            <w:r>
              <w:rPr>
                <w:sz w:val="22"/>
                <w:szCs w:val="22"/>
              </w:rPr>
              <w:t>6/2016</w:t>
            </w:r>
          </w:p>
        </w:tc>
        <w:tc>
          <w:tcPr>
            <w:tcW w:w="2070" w:type="dxa"/>
          </w:tcPr>
          <w:p>
            <w:pPr>
              <w:rPr>
                <w:sz w:val="22"/>
                <w:szCs w:val="22"/>
              </w:rPr>
            </w:pPr>
            <w:r>
              <w:rPr>
                <w:sz w:val="22"/>
                <w:szCs w:val="22"/>
              </w:rPr>
              <w:t>$8 million</w:t>
            </w:r>
          </w:p>
        </w:tc>
        <w:tc>
          <w:tcPr>
            <w:tcW w:w="3510" w:type="dxa"/>
          </w:tcPr>
          <w:p>
            <w:pPr>
              <w:rPr>
                <w:sz w:val="22"/>
                <w:szCs w:val="22"/>
              </w:rPr>
            </w:pPr>
            <w:r>
              <w:rPr>
                <w:sz w:val="22"/>
                <w:szCs w:val="22"/>
              </w:rPr>
              <w:t xml:space="preserve">Clark County Collection Service LLC, Dollar Loan Center LLC and </w:t>
            </w:r>
            <w:proofErr w:type="spellStart"/>
            <w:r>
              <w:rPr>
                <w:sz w:val="22"/>
                <w:szCs w:val="22"/>
              </w:rPr>
              <w:t>DLC</w:t>
            </w:r>
            <w:proofErr w:type="spellEnd"/>
            <w:r>
              <w:rPr>
                <w:sz w:val="22"/>
                <w:szCs w:val="22"/>
              </w:rPr>
              <w:t xml:space="preserve"> Empire LLC (“Payday Lenders”)</w:t>
            </w:r>
          </w:p>
        </w:tc>
        <w:tc>
          <w:tcPr>
            <w:tcW w:w="1980" w:type="dxa"/>
          </w:tcPr>
          <w:p>
            <w:pPr>
              <w:rPr>
                <w:rFonts w:asciiTheme="minorHAnsi" w:hAnsiTheme="minorHAnsi"/>
                <w:sz w:val="22"/>
                <w:szCs w:val="22"/>
              </w:rPr>
            </w:pPr>
            <w:r>
              <w:rPr>
                <w:sz w:val="22"/>
                <w:szCs w:val="22"/>
              </w:rPr>
              <w:t xml:space="preserve">Nevada </w:t>
            </w:r>
          </w:p>
        </w:tc>
      </w:tr>
      <w:tr>
        <w:tc>
          <w:tcPr>
            <w:tcW w:w="1818" w:type="dxa"/>
          </w:tcPr>
          <w:p>
            <w:pPr>
              <w:rPr>
                <w:sz w:val="22"/>
                <w:szCs w:val="22"/>
              </w:rPr>
            </w:pPr>
            <w:r>
              <w:rPr>
                <w:sz w:val="22"/>
                <w:szCs w:val="22"/>
              </w:rPr>
              <w:t>4/2016</w:t>
            </w:r>
          </w:p>
        </w:tc>
        <w:tc>
          <w:tcPr>
            <w:tcW w:w="2070" w:type="dxa"/>
          </w:tcPr>
          <w:p>
            <w:pPr>
              <w:rPr>
                <w:sz w:val="22"/>
                <w:szCs w:val="22"/>
              </w:rPr>
            </w:pPr>
            <w:r>
              <w:rPr>
                <w:sz w:val="22"/>
                <w:szCs w:val="22"/>
              </w:rPr>
              <w:t>$18 million</w:t>
            </w:r>
          </w:p>
        </w:tc>
        <w:tc>
          <w:tcPr>
            <w:tcW w:w="3510" w:type="dxa"/>
          </w:tcPr>
          <w:p>
            <w:pPr>
              <w:rPr>
                <w:sz w:val="22"/>
                <w:szCs w:val="22"/>
              </w:rPr>
            </w:pPr>
            <w:r>
              <w:rPr>
                <w:sz w:val="22"/>
                <w:szCs w:val="22"/>
              </w:rPr>
              <w:t xml:space="preserve">Portfolio Recovery Associates LLC </w:t>
            </w:r>
          </w:p>
        </w:tc>
        <w:tc>
          <w:tcPr>
            <w:tcW w:w="1980" w:type="dxa"/>
          </w:tcPr>
          <w:p>
            <w:pPr>
              <w:rPr>
                <w:rFonts w:asciiTheme="minorHAnsi" w:hAnsiTheme="minorHAnsi"/>
                <w:sz w:val="22"/>
                <w:szCs w:val="22"/>
              </w:rPr>
            </w:pPr>
            <w:r>
              <w:rPr>
                <w:sz w:val="22"/>
                <w:szCs w:val="22"/>
              </w:rPr>
              <w:t xml:space="preserve">California </w:t>
            </w:r>
          </w:p>
        </w:tc>
      </w:tr>
      <w:tr>
        <w:tc>
          <w:tcPr>
            <w:tcW w:w="1818" w:type="dxa"/>
          </w:tcPr>
          <w:p>
            <w:pPr>
              <w:rPr>
                <w:sz w:val="22"/>
                <w:szCs w:val="22"/>
              </w:rPr>
            </w:pPr>
            <w:r>
              <w:rPr>
                <w:sz w:val="22"/>
                <w:szCs w:val="22"/>
              </w:rPr>
              <w:t>4/2016</w:t>
            </w:r>
          </w:p>
        </w:tc>
        <w:tc>
          <w:tcPr>
            <w:tcW w:w="2070" w:type="dxa"/>
          </w:tcPr>
          <w:p>
            <w:pPr>
              <w:rPr>
                <w:sz w:val="22"/>
                <w:szCs w:val="22"/>
              </w:rPr>
            </w:pPr>
            <w:r>
              <w:rPr>
                <w:sz w:val="22"/>
                <w:szCs w:val="22"/>
              </w:rPr>
              <w:t>$1 million</w:t>
            </w:r>
          </w:p>
        </w:tc>
        <w:tc>
          <w:tcPr>
            <w:tcW w:w="3510" w:type="dxa"/>
          </w:tcPr>
          <w:p>
            <w:pPr>
              <w:rPr>
                <w:sz w:val="22"/>
                <w:szCs w:val="22"/>
              </w:rPr>
            </w:pPr>
            <w:r>
              <w:rPr>
                <w:sz w:val="22"/>
                <w:szCs w:val="22"/>
              </w:rPr>
              <w:t>Bank of America</w:t>
            </w:r>
          </w:p>
        </w:tc>
        <w:tc>
          <w:tcPr>
            <w:tcW w:w="1980" w:type="dxa"/>
          </w:tcPr>
          <w:p>
            <w:pPr>
              <w:rPr>
                <w:rFonts w:asciiTheme="minorHAnsi" w:hAnsiTheme="minorHAnsi"/>
                <w:sz w:val="22"/>
                <w:szCs w:val="22"/>
              </w:rPr>
            </w:pPr>
            <w:r>
              <w:rPr>
                <w:sz w:val="22"/>
                <w:szCs w:val="22"/>
              </w:rPr>
              <w:t xml:space="preserve">Florida </w:t>
            </w:r>
          </w:p>
        </w:tc>
      </w:tr>
      <w:tr>
        <w:tc>
          <w:tcPr>
            <w:tcW w:w="1818" w:type="dxa"/>
          </w:tcPr>
          <w:p>
            <w:pPr>
              <w:rPr>
                <w:sz w:val="22"/>
                <w:szCs w:val="22"/>
              </w:rPr>
            </w:pPr>
            <w:r>
              <w:rPr>
                <w:sz w:val="22"/>
                <w:szCs w:val="22"/>
              </w:rPr>
              <w:t>1/2016</w:t>
            </w:r>
          </w:p>
        </w:tc>
        <w:tc>
          <w:tcPr>
            <w:tcW w:w="2070" w:type="dxa"/>
          </w:tcPr>
          <w:p>
            <w:pPr>
              <w:rPr>
                <w:sz w:val="22"/>
                <w:szCs w:val="22"/>
              </w:rPr>
            </w:pPr>
            <w:r>
              <w:rPr>
                <w:sz w:val="22"/>
                <w:szCs w:val="22"/>
              </w:rPr>
              <w:t>$7.4 million</w:t>
            </w:r>
          </w:p>
        </w:tc>
        <w:tc>
          <w:tcPr>
            <w:tcW w:w="3510" w:type="dxa"/>
          </w:tcPr>
          <w:p>
            <w:pPr>
              <w:rPr>
                <w:sz w:val="22"/>
                <w:szCs w:val="22"/>
              </w:rPr>
            </w:pPr>
            <w:r>
              <w:rPr>
                <w:sz w:val="22"/>
                <w:szCs w:val="22"/>
              </w:rPr>
              <w:t>Mortgage Investors Corp.</w:t>
            </w:r>
          </w:p>
        </w:tc>
        <w:tc>
          <w:tcPr>
            <w:tcW w:w="1980" w:type="dxa"/>
          </w:tcPr>
          <w:p>
            <w:pPr>
              <w:rPr>
                <w:rFonts w:asciiTheme="minorHAnsi" w:hAnsiTheme="minorHAnsi"/>
                <w:sz w:val="22"/>
                <w:szCs w:val="22"/>
              </w:rPr>
            </w:pPr>
            <w:r>
              <w:rPr>
                <w:sz w:val="22"/>
                <w:szCs w:val="22"/>
              </w:rPr>
              <w:t xml:space="preserve">Oregon </w:t>
            </w:r>
          </w:p>
        </w:tc>
      </w:tr>
      <w:tr>
        <w:tc>
          <w:tcPr>
            <w:tcW w:w="1818" w:type="dxa"/>
          </w:tcPr>
          <w:p>
            <w:pPr>
              <w:rPr>
                <w:sz w:val="22"/>
                <w:szCs w:val="22"/>
              </w:rPr>
            </w:pPr>
            <w:r>
              <w:rPr>
                <w:sz w:val="22"/>
                <w:szCs w:val="22"/>
              </w:rPr>
              <w:t>12/2015</w:t>
            </w:r>
          </w:p>
        </w:tc>
        <w:tc>
          <w:tcPr>
            <w:tcW w:w="2070" w:type="dxa"/>
          </w:tcPr>
          <w:p>
            <w:pPr>
              <w:rPr>
                <w:sz w:val="22"/>
                <w:szCs w:val="22"/>
              </w:rPr>
            </w:pPr>
            <w:r>
              <w:rPr>
                <w:sz w:val="22"/>
                <w:szCs w:val="22"/>
              </w:rPr>
              <w:t>$ 4 million</w:t>
            </w:r>
          </w:p>
        </w:tc>
        <w:tc>
          <w:tcPr>
            <w:tcW w:w="3510" w:type="dxa"/>
          </w:tcPr>
          <w:p>
            <w:pPr>
              <w:rPr>
                <w:sz w:val="22"/>
                <w:szCs w:val="22"/>
              </w:rPr>
            </w:pPr>
            <w:r>
              <w:rPr>
                <w:sz w:val="22"/>
                <w:szCs w:val="22"/>
              </w:rPr>
              <w:t>Verizon</w:t>
            </w:r>
          </w:p>
        </w:tc>
        <w:tc>
          <w:tcPr>
            <w:tcW w:w="1980" w:type="dxa"/>
          </w:tcPr>
          <w:p>
            <w:pPr>
              <w:rPr>
                <w:rFonts w:asciiTheme="minorHAnsi" w:hAnsiTheme="minorHAnsi"/>
                <w:sz w:val="22"/>
                <w:szCs w:val="22"/>
              </w:rPr>
            </w:pPr>
            <w:r>
              <w:rPr>
                <w:sz w:val="22"/>
                <w:szCs w:val="22"/>
              </w:rPr>
              <w:t xml:space="preserve">California </w:t>
            </w:r>
          </w:p>
        </w:tc>
      </w:tr>
      <w:tr>
        <w:tc>
          <w:tcPr>
            <w:tcW w:w="1818" w:type="dxa"/>
          </w:tcPr>
          <w:p>
            <w:pPr>
              <w:rPr>
                <w:sz w:val="22"/>
                <w:szCs w:val="22"/>
              </w:rPr>
            </w:pPr>
            <w:r>
              <w:rPr>
                <w:sz w:val="22"/>
                <w:szCs w:val="22"/>
              </w:rPr>
              <w:t>11/2015</w:t>
            </w:r>
          </w:p>
        </w:tc>
        <w:tc>
          <w:tcPr>
            <w:tcW w:w="2070" w:type="dxa"/>
          </w:tcPr>
          <w:p>
            <w:pPr>
              <w:rPr>
                <w:sz w:val="22"/>
                <w:szCs w:val="22"/>
              </w:rPr>
            </w:pPr>
            <w:r>
              <w:rPr>
                <w:sz w:val="22"/>
                <w:szCs w:val="22"/>
              </w:rPr>
              <w:t>$15 million</w:t>
            </w:r>
          </w:p>
        </w:tc>
        <w:tc>
          <w:tcPr>
            <w:tcW w:w="3510" w:type="dxa"/>
          </w:tcPr>
          <w:p>
            <w:pPr>
              <w:rPr>
                <w:sz w:val="22"/>
                <w:szCs w:val="22"/>
              </w:rPr>
            </w:pPr>
            <w:proofErr w:type="spellStart"/>
            <w:r>
              <w:rPr>
                <w:sz w:val="22"/>
                <w:szCs w:val="22"/>
              </w:rPr>
              <w:t>PharMerica</w:t>
            </w:r>
            <w:proofErr w:type="spellEnd"/>
          </w:p>
        </w:tc>
        <w:tc>
          <w:tcPr>
            <w:tcW w:w="1980" w:type="dxa"/>
          </w:tcPr>
          <w:p>
            <w:pPr>
              <w:rPr>
                <w:rFonts w:asciiTheme="minorHAnsi" w:hAnsiTheme="minorHAnsi"/>
                <w:sz w:val="22"/>
                <w:szCs w:val="22"/>
              </w:rPr>
            </w:pPr>
            <w:r>
              <w:rPr>
                <w:sz w:val="22"/>
                <w:szCs w:val="22"/>
              </w:rPr>
              <w:t xml:space="preserve">Florida </w:t>
            </w:r>
          </w:p>
        </w:tc>
      </w:tr>
      <w:tr>
        <w:tc>
          <w:tcPr>
            <w:tcW w:w="1818" w:type="dxa"/>
          </w:tcPr>
          <w:p>
            <w:pPr>
              <w:rPr>
                <w:sz w:val="22"/>
                <w:szCs w:val="22"/>
              </w:rPr>
            </w:pPr>
            <w:r>
              <w:rPr>
                <w:sz w:val="22"/>
                <w:szCs w:val="22"/>
              </w:rPr>
              <w:t>10/2015</w:t>
            </w:r>
          </w:p>
        </w:tc>
        <w:tc>
          <w:tcPr>
            <w:tcW w:w="2070" w:type="dxa"/>
          </w:tcPr>
          <w:p>
            <w:pPr>
              <w:rPr>
                <w:sz w:val="22"/>
                <w:szCs w:val="22"/>
              </w:rPr>
            </w:pPr>
            <w:r>
              <w:rPr>
                <w:sz w:val="22"/>
                <w:szCs w:val="22"/>
              </w:rPr>
              <w:t>$8.5 million</w:t>
            </w:r>
          </w:p>
        </w:tc>
        <w:tc>
          <w:tcPr>
            <w:tcW w:w="3510" w:type="dxa"/>
          </w:tcPr>
          <w:p>
            <w:pPr>
              <w:rPr>
                <w:sz w:val="22"/>
                <w:szCs w:val="22"/>
              </w:rPr>
            </w:pPr>
            <w:r>
              <w:rPr>
                <w:sz w:val="22"/>
                <w:szCs w:val="22"/>
              </w:rPr>
              <w:t xml:space="preserve">Western Union </w:t>
            </w:r>
          </w:p>
        </w:tc>
        <w:tc>
          <w:tcPr>
            <w:tcW w:w="1980" w:type="dxa"/>
          </w:tcPr>
          <w:p>
            <w:pPr>
              <w:rPr>
                <w:rFonts w:asciiTheme="minorHAnsi" w:hAnsiTheme="minorHAnsi"/>
                <w:sz w:val="22"/>
                <w:szCs w:val="22"/>
              </w:rPr>
            </w:pPr>
            <w:r>
              <w:rPr>
                <w:sz w:val="22"/>
                <w:szCs w:val="22"/>
              </w:rPr>
              <w:t xml:space="preserve">Illinois </w:t>
            </w:r>
          </w:p>
        </w:tc>
      </w:tr>
      <w:tr>
        <w:tc>
          <w:tcPr>
            <w:tcW w:w="1818" w:type="dxa"/>
          </w:tcPr>
          <w:p>
            <w:pPr>
              <w:rPr>
                <w:sz w:val="22"/>
                <w:szCs w:val="22"/>
              </w:rPr>
            </w:pPr>
            <w:r>
              <w:rPr>
                <w:sz w:val="22"/>
                <w:szCs w:val="22"/>
              </w:rPr>
              <w:t>10/2015</w:t>
            </w:r>
          </w:p>
        </w:tc>
        <w:tc>
          <w:tcPr>
            <w:tcW w:w="2070" w:type="dxa"/>
          </w:tcPr>
          <w:p>
            <w:pPr>
              <w:rPr>
                <w:sz w:val="22"/>
                <w:szCs w:val="22"/>
              </w:rPr>
            </w:pPr>
            <w:r>
              <w:rPr>
                <w:sz w:val="22"/>
                <w:szCs w:val="22"/>
              </w:rPr>
              <w:t>$10.2 million</w:t>
            </w:r>
          </w:p>
        </w:tc>
        <w:tc>
          <w:tcPr>
            <w:tcW w:w="3510" w:type="dxa"/>
          </w:tcPr>
          <w:p>
            <w:pPr>
              <w:rPr>
                <w:sz w:val="22"/>
                <w:szCs w:val="22"/>
              </w:rPr>
            </w:pPr>
            <w:r>
              <w:rPr>
                <w:sz w:val="22"/>
                <w:szCs w:val="22"/>
              </w:rPr>
              <w:t>JPMorgan</w:t>
            </w:r>
          </w:p>
        </w:tc>
        <w:tc>
          <w:tcPr>
            <w:tcW w:w="1980" w:type="dxa"/>
          </w:tcPr>
          <w:p>
            <w:pPr>
              <w:rPr>
                <w:rFonts w:asciiTheme="minorHAnsi" w:hAnsiTheme="minorHAnsi"/>
                <w:sz w:val="22"/>
                <w:szCs w:val="22"/>
              </w:rPr>
            </w:pPr>
            <w:r>
              <w:rPr>
                <w:sz w:val="22"/>
                <w:szCs w:val="22"/>
              </w:rPr>
              <w:t xml:space="preserve">Illinois </w:t>
            </w:r>
          </w:p>
        </w:tc>
      </w:tr>
      <w:tr>
        <w:tc>
          <w:tcPr>
            <w:tcW w:w="1818" w:type="dxa"/>
          </w:tcPr>
          <w:p>
            <w:pPr>
              <w:rPr>
                <w:sz w:val="22"/>
                <w:szCs w:val="22"/>
              </w:rPr>
            </w:pPr>
            <w:r>
              <w:rPr>
                <w:sz w:val="22"/>
                <w:szCs w:val="22"/>
              </w:rPr>
              <w:t>6/2015</w:t>
            </w:r>
          </w:p>
        </w:tc>
        <w:tc>
          <w:tcPr>
            <w:tcW w:w="2070" w:type="dxa"/>
          </w:tcPr>
          <w:p>
            <w:pPr>
              <w:rPr>
                <w:sz w:val="22"/>
                <w:szCs w:val="22"/>
              </w:rPr>
            </w:pPr>
            <w:r>
              <w:rPr>
                <w:sz w:val="22"/>
                <w:szCs w:val="22"/>
              </w:rPr>
              <w:t>$75.4 million</w:t>
            </w:r>
          </w:p>
        </w:tc>
        <w:tc>
          <w:tcPr>
            <w:tcW w:w="3510" w:type="dxa"/>
          </w:tcPr>
          <w:p>
            <w:pPr>
              <w:rPr>
                <w:sz w:val="22"/>
                <w:szCs w:val="22"/>
              </w:rPr>
            </w:pPr>
            <w:r>
              <w:rPr>
                <w:sz w:val="22"/>
                <w:szCs w:val="22"/>
              </w:rPr>
              <w:t>Capital One</w:t>
            </w:r>
          </w:p>
        </w:tc>
        <w:tc>
          <w:tcPr>
            <w:tcW w:w="1980" w:type="dxa"/>
          </w:tcPr>
          <w:p>
            <w:pPr>
              <w:rPr>
                <w:rFonts w:asciiTheme="minorHAnsi" w:hAnsiTheme="minorHAnsi"/>
                <w:sz w:val="22"/>
                <w:szCs w:val="22"/>
              </w:rPr>
            </w:pPr>
            <w:r>
              <w:rPr>
                <w:sz w:val="22"/>
                <w:szCs w:val="22"/>
              </w:rPr>
              <w:t>Illinois</w:t>
            </w:r>
          </w:p>
        </w:tc>
      </w:tr>
      <w:tr>
        <w:tc>
          <w:tcPr>
            <w:tcW w:w="1818" w:type="dxa"/>
          </w:tcPr>
          <w:p>
            <w:pPr>
              <w:rPr>
                <w:sz w:val="22"/>
                <w:szCs w:val="22"/>
              </w:rPr>
            </w:pPr>
            <w:r>
              <w:rPr>
                <w:sz w:val="22"/>
                <w:szCs w:val="22"/>
              </w:rPr>
              <w:t>6/2015</w:t>
            </w:r>
          </w:p>
        </w:tc>
        <w:tc>
          <w:tcPr>
            <w:tcW w:w="2070" w:type="dxa"/>
          </w:tcPr>
          <w:p>
            <w:pPr>
              <w:rPr>
                <w:sz w:val="22"/>
                <w:szCs w:val="22"/>
              </w:rPr>
            </w:pPr>
            <w:r>
              <w:rPr>
                <w:sz w:val="22"/>
                <w:szCs w:val="22"/>
              </w:rPr>
              <w:t>$6.25 million</w:t>
            </w:r>
          </w:p>
        </w:tc>
        <w:tc>
          <w:tcPr>
            <w:tcW w:w="3510" w:type="dxa"/>
          </w:tcPr>
          <w:p>
            <w:pPr>
              <w:rPr>
                <w:sz w:val="22"/>
                <w:szCs w:val="22"/>
              </w:rPr>
            </w:pPr>
            <w:r>
              <w:rPr>
                <w:sz w:val="22"/>
                <w:szCs w:val="22"/>
              </w:rPr>
              <w:t>Anthem Blue Cross Blue Shield</w:t>
            </w:r>
          </w:p>
        </w:tc>
        <w:tc>
          <w:tcPr>
            <w:tcW w:w="1980" w:type="dxa"/>
          </w:tcPr>
          <w:p>
            <w:pPr>
              <w:rPr>
                <w:rFonts w:asciiTheme="minorHAnsi" w:hAnsiTheme="minorHAnsi"/>
                <w:sz w:val="22"/>
                <w:szCs w:val="22"/>
              </w:rPr>
            </w:pPr>
            <w:r>
              <w:rPr>
                <w:sz w:val="22"/>
                <w:szCs w:val="22"/>
              </w:rPr>
              <w:t xml:space="preserve">Missouri </w:t>
            </w:r>
          </w:p>
        </w:tc>
      </w:tr>
      <w:tr>
        <w:tc>
          <w:tcPr>
            <w:tcW w:w="1818" w:type="dxa"/>
          </w:tcPr>
          <w:p>
            <w:pPr>
              <w:rPr>
                <w:sz w:val="22"/>
                <w:szCs w:val="22"/>
              </w:rPr>
            </w:pPr>
            <w:r>
              <w:rPr>
                <w:sz w:val="22"/>
                <w:szCs w:val="22"/>
              </w:rPr>
              <w:t>3/2015</w:t>
            </w:r>
          </w:p>
        </w:tc>
        <w:tc>
          <w:tcPr>
            <w:tcW w:w="2070" w:type="dxa"/>
          </w:tcPr>
          <w:p>
            <w:pPr>
              <w:rPr>
                <w:sz w:val="22"/>
                <w:szCs w:val="22"/>
              </w:rPr>
            </w:pPr>
            <w:r>
              <w:rPr>
                <w:sz w:val="22"/>
                <w:szCs w:val="22"/>
              </w:rPr>
              <w:t>$11 million</w:t>
            </w:r>
          </w:p>
        </w:tc>
        <w:tc>
          <w:tcPr>
            <w:tcW w:w="3510" w:type="dxa"/>
          </w:tcPr>
          <w:p>
            <w:pPr>
              <w:rPr>
                <w:sz w:val="22"/>
                <w:szCs w:val="22"/>
              </w:rPr>
            </w:pPr>
            <w:r>
              <w:rPr>
                <w:sz w:val="22"/>
                <w:szCs w:val="22"/>
              </w:rPr>
              <w:t>Walgreen Co.</w:t>
            </w:r>
          </w:p>
        </w:tc>
        <w:tc>
          <w:tcPr>
            <w:tcW w:w="1980" w:type="dxa"/>
          </w:tcPr>
          <w:p>
            <w:pPr>
              <w:rPr>
                <w:rFonts w:asciiTheme="minorHAnsi" w:hAnsiTheme="minorHAnsi"/>
                <w:sz w:val="22"/>
                <w:szCs w:val="22"/>
              </w:rPr>
            </w:pPr>
            <w:r>
              <w:rPr>
                <w:sz w:val="22"/>
                <w:szCs w:val="22"/>
              </w:rPr>
              <w:t xml:space="preserve">Illinois </w:t>
            </w:r>
          </w:p>
        </w:tc>
      </w:tr>
      <w:tr>
        <w:tc>
          <w:tcPr>
            <w:tcW w:w="1818" w:type="dxa"/>
          </w:tcPr>
          <w:p>
            <w:pPr>
              <w:rPr>
                <w:sz w:val="22"/>
                <w:szCs w:val="22"/>
              </w:rPr>
            </w:pPr>
            <w:r>
              <w:rPr>
                <w:sz w:val="22"/>
                <w:szCs w:val="22"/>
              </w:rPr>
              <w:t>2/2015</w:t>
            </w:r>
          </w:p>
        </w:tc>
        <w:tc>
          <w:tcPr>
            <w:tcW w:w="2070" w:type="dxa"/>
          </w:tcPr>
          <w:p>
            <w:pPr>
              <w:rPr>
                <w:sz w:val="22"/>
                <w:szCs w:val="22"/>
              </w:rPr>
            </w:pPr>
            <w:r>
              <w:rPr>
                <w:sz w:val="22"/>
                <w:szCs w:val="22"/>
              </w:rPr>
              <w:t>$10 million -       $15 million</w:t>
            </w:r>
          </w:p>
        </w:tc>
        <w:tc>
          <w:tcPr>
            <w:tcW w:w="3510" w:type="dxa"/>
          </w:tcPr>
          <w:p>
            <w:pPr>
              <w:rPr>
                <w:sz w:val="22"/>
                <w:szCs w:val="22"/>
              </w:rPr>
            </w:pPr>
            <w:r>
              <w:rPr>
                <w:sz w:val="22"/>
                <w:szCs w:val="22"/>
              </w:rPr>
              <w:t>Life Time Fitness</w:t>
            </w:r>
          </w:p>
        </w:tc>
        <w:tc>
          <w:tcPr>
            <w:tcW w:w="1980" w:type="dxa"/>
          </w:tcPr>
          <w:p>
            <w:pPr>
              <w:rPr>
                <w:rFonts w:asciiTheme="minorHAnsi" w:hAnsiTheme="minorHAnsi"/>
                <w:sz w:val="22"/>
                <w:szCs w:val="22"/>
              </w:rPr>
            </w:pPr>
            <w:r>
              <w:rPr>
                <w:sz w:val="22"/>
                <w:szCs w:val="22"/>
              </w:rPr>
              <w:t xml:space="preserve">Minnesota </w:t>
            </w:r>
          </w:p>
        </w:tc>
      </w:tr>
      <w:tr>
        <w:tc>
          <w:tcPr>
            <w:tcW w:w="1818" w:type="dxa"/>
          </w:tcPr>
          <w:p>
            <w:pPr>
              <w:rPr>
                <w:sz w:val="22"/>
                <w:szCs w:val="22"/>
              </w:rPr>
            </w:pPr>
            <w:r>
              <w:rPr>
                <w:sz w:val="22"/>
                <w:szCs w:val="22"/>
              </w:rPr>
              <w:t>2/2015</w:t>
            </w:r>
          </w:p>
        </w:tc>
        <w:tc>
          <w:tcPr>
            <w:tcW w:w="2070" w:type="dxa"/>
          </w:tcPr>
          <w:p>
            <w:pPr>
              <w:rPr>
                <w:sz w:val="22"/>
                <w:szCs w:val="22"/>
              </w:rPr>
            </w:pPr>
            <w:r>
              <w:rPr>
                <w:sz w:val="22"/>
                <w:szCs w:val="22"/>
              </w:rPr>
              <w:t>$6 million</w:t>
            </w:r>
          </w:p>
        </w:tc>
        <w:tc>
          <w:tcPr>
            <w:tcW w:w="3510" w:type="dxa"/>
          </w:tcPr>
          <w:p>
            <w:pPr>
              <w:rPr>
                <w:sz w:val="22"/>
                <w:szCs w:val="22"/>
              </w:rPr>
            </w:pPr>
            <w:proofErr w:type="spellStart"/>
            <w:r>
              <w:rPr>
                <w:sz w:val="22"/>
                <w:szCs w:val="22"/>
              </w:rPr>
              <w:t>Vivint</w:t>
            </w:r>
            <w:proofErr w:type="spellEnd"/>
            <w:r>
              <w:rPr>
                <w:sz w:val="22"/>
                <w:szCs w:val="22"/>
              </w:rPr>
              <w:t xml:space="preserve"> </w:t>
            </w:r>
          </w:p>
        </w:tc>
        <w:tc>
          <w:tcPr>
            <w:tcW w:w="1980" w:type="dxa"/>
          </w:tcPr>
          <w:p>
            <w:pPr>
              <w:rPr>
                <w:rFonts w:asciiTheme="minorHAnsi" w:hAnsiTheme="minorHAnsi"/>
                <w:sz w:val="22"/>
                <w:szCs w:val="22"/>
              </w:rPr>
            </w:pPr>
            <w:r>
              <w:rPr>
                <w:sz w:val="22"/>
                <w:szCs w:val="22"/>
              </w:rPr>
              <w:t xml:space="preserve">Florida </w:t>
            </w:r>
          </w:p>
        </w:tc>
      </w:tr>
      <w:tr>
        <w:tc>
          <w:tcPr>
            <w:tcW w:w="1818" w:type="dxa"/>
          </w:tcPr>
          <w:p>
            <w:pPr>
              <w:rPr>
                <w:sz w:val="22"/>
                <w:szCs w:val="22"/>
              </w:rPr>
            </w:pPr>
            <w:r>
              <w:rPr>
                <w:sz w:val="22"/>
                <w:szCs w:val="22"/>
              </w:rPr>
              <w:t>12/2014</w:t>
            </w:r>
          </w:p>
        </w:tc>
        <w:tc>
          <w:tcPr>
            <w:tcW w:w="2070" w:type="dxa"/>
          </w:tcPr>
          <w:p>
            <w:pPr>
              <w:rPr>
                <w:sz w:val="22"/>
                <w:szCs w:val="22"/>
              </w:rPr>
            </w:pPr>
            <w:r>
              <w:rPr>
                <w:sz w:val="22"/>
                <w:szCs w:val="22"/>
              </w:rPr>
              <w:t>$14.5 million</w:t>
            </w:r>
          </w:p>
        </w:tc>
        <w:tc>
          <w:tcPr>
            <w:tcW w:w="3510" w:type="dxa"/>
          </w:tcPr>
          <w:p>
            <w:pPr>
              <w:rPr>
                <w:sz w:val="22"/>
                <w:szCs w:val="22"/>
              </w:rPr>
            </w:pPr>
            <w:r>
              <w:rPr>
                <w:sz w:val="22"/>
                <w:szCs w:val="22"/>
              </w:rPr>
              <w:t>Wells Fargo</w:t>
            </w:r>
          </w:p>
        </w:tc>
        <w:tc>
          <w:tcPr>
            <w:tcW w:w="1980" w:type="dxa"/>
          </w:tcPr>
          <w:p>
            <w:pPr>
              <w:rPr>
                <w:rFonts w:asciiTheme="minorHAnsi" w:hAnsiTheme="minorHAnsi"/>
                <w:sz w:val="22"/>
                <w:szCs w:val="22"/>
              </w:rPr>
            </w:pPr>
            <w:r>
              <w:rPr>
                <w:sz w:val="22"/>
                <w:szCs w:val="22"/>
              </w:rPr>
              <w:t xml:space="preserve">California </w:t>
            </w:r>
          </w:p>
        </w:tc>
      </w:tr>
      <w:tr>
        <w:tc>
          <w:tcPr>
            <w:tcW w:w="1818" w:type="dxa"/>
          </w:tcPr>
          <w:p>
            <w:pPr>
              <w:rPr>
                <w:sz w:val="22"/>
                <w:szCs w:val="22"/>
              </w:rPr>
            </w:pPr>
            <w:r>
              <w:rPr>
                <w:sz w:val="22"/>
                <w:szCs w:val="22"/>
              </w:rPr>
              <w:t>12/2014</w:t>
            </w:r>
          </w:p>
        </w:tc>
        <w:tc>
          <w:tcPr>
            <w:tcW w:w="2070" w:type="dxa"/>
          </w:tcPr>
          <w:p>
            <w:pPr>
              <w:rPr>
                <w:sz w:val="22"/>
                <w:szCs w:val="22"/>
              </w:rPr>
            </w:pPr>
            <w:r>
              <w:rPr>
                <w:sz w:val="22"/>
                <w:szCs w:val="22"/>
              </w:rPr>
              <w:t>$5.4 million</w:t>
            </w:r>
          </w:p>
        </w:tc>
        <w:tc>
          <w:tcPr>
            <w:tcW w:w="3510" w:type="dxa"/>
          </w:tcPr>
          <w:p>
            <w:pPr>
              <w:rPr>
                <w:sz w:val="22"/>
                <w:szCs w:val="22"/>
              </w:rPr>
            </w:pPr>
            <w:r>
              <w:rPr>
                <w:sz w:val="22"/>
                <w:szCs w:val="22"/>
              </w:rPr>
              <w:t>Kaiser Permanente</w:t>
            </w:r>
          </w:p>
        </w:tc>
        <w:tc>
          <w:tcPr>
            <w:tcW w:w="1980" w:type="dxa"/>
          </w:tcPr>
          <w:p>
            <w:pPr>
              <w:rPr>
                <w:rFonts w:asciiTheme="minorHAnsi" w:hAnsiTheme="minorHAnsi"/>
                <w:sz w:val="22"/>
                <w:szCs w:val="22"/>
              </w:rPr>
            </w:pPr>
            <w:r>
              <w:rPr>
                <w:sz w:val="22"/>
                <w:szCs w:val="22"/>
              </w:rPr>
              <w:t xml:space="preserve">California </w:t>
            </w:r>
          </w:p>
        </w:tc>
      </w:tr>
      <w:tr>
        <w:tc>
          <w:tcPr>
            <w:tcW w:w="1818" w:type="dxa"/>
          </w:tcPr>
          <w:p>
            <w:pPr>
              <w:rPr>
                <w:sz w:val="22"/>
                <w:szCs w:val="22"/>
              </w:rPr>
            </w:pPr>
            <w:r>
              <w:rPr>
                <w:sz w:val="22"/>
                <w:szCs w:val="22"/>
              </w:rPr>
              <w:t>11/2014</w:t>
            </w:r>
          </w:p>
        </w:tc>
        <w:tc>
          <w:tcPr>
            <w:tcW w:w="2070" w:type="dxa"/>
          </w:tcPr>
          <w:p>
            <w:pPr>
              <w:rPr>
                <w:sz w:val="22"/>
                <w:szCs w:val="22"/>
              </w:rPr>
            </w:pPr>
            <w:r>
              <w:rPr>
                <w:sz w:val="22"/>
                <w:szCs w:val="22"/>
              </w:rPr>
              <w:t>$8. 5 million</w:t>
            </w:r>
          </w:p>
        </w:tc>
        <w:tc>
          <w:tcPr>
            <w:tcW w:w="3510" w:type="dxa"/>
          </w:tcPr>
          <w:p>
            <w:pPr>
              <w:rPr>
                <w:sz w:val="22"/>
                <w:szCs w:val="22"/>
              </w:rPr>
            </w:pPr>
            <w:r>
              <w:rPr>
                <w:sz w:val="22"/>
                <w:szCs w:val="22"/>
              </w:rPr>
              <w:t>Burger King</w:t>
            </w:r>
          </w:p>
        </w:tc>
        <w:tc>
          <w:tcPr>
            <w:tcW w:w="1980" w:type="dxa"/>
          </w:tcPr>
          <w:p>
            <w:pPr>
              <w:rPr>
                <w:rFonts w:asciiTheme="minorHAnsi" w:hAnsiTheme="minorHAnsi"/>
                <w:sz w:val="22"/>
                <w:szCs w:val="22"/>
              </w:rPr>
            </w:pPr>
            <w:r>
              <w:rPr>
                <w:sz w:val="22"/>
                <w:szCs w:val="22"/>
              </w:rPr>
              <w:t xml:space="preserve">Maryland </w:t>
            </w:r>
          </w:p>
        </w:tc>
      </w:tr>
      <w:tr>
        <w:tc>
          <w:tcPr>
            <w:tcW w:w="1818" w:type="dxa"/>
          </w:tcPr>
          <w:p>
            <w:pPr>
              <w:rPr>
                <w:sz w:val="22"/>
                <w:szCs w:val="22"/>
              </w:rPr>
            </w:pPr>
            <w:r>
              <w:rPr>
                <w:sz w:val="22"/>
                <w:szCs w:val="22"/>
              </w:rPr>
              <w:t>11/2014</w:t>
            </w:r>
          </w:p>
        </w:tc>
        <w:tc>
          <w:tcPr>
            <w:tcW w:w="2070" w:type="dxa"/>
          </w:tcPr>
          <w:p>
            <w:pPr>
              <w:rPr>
                <w:sz w:val="22"/>
                <w:szCs w:val="22"/>
              </w:rPr>
            </w:pPr>
            <w:r>
              <w:rPr>
                <w:sz w:val="22"/>
                <w:szCs w:val="22"/>
              </w:rPr>
              <w:t>$40 million</w:t>
            </w:r>
          </w:p>
        </w:tc>
        <w:tc>
          <w:tcPr>
            <w:tcW w:w="3510" w:type="dxa"/>
          </w:tcPr>
          <w:p>
            <w:pPr>
              <w:rPr>
                <w:sz w:val="22"/>
                <w:szCs w:val="22"/>
              </w:rPr>
            </w:pPr>
            <w:r>
              <w:rPr>
                <w:sz w:val="22"/>
                <w:szCs w:val="22"/>
              </w:rPr>
              <w:t xml:space="preserve">Interline Brands </w:t>
            </w:r>
          </w:p>
        </w:tc>
        <w:tc>
          <w:tcPr>
            <w:tcW w:w="1980" w:type="dxa"/>
          </w:tcPr>
          <w:p>
            <w:pPr>
              <w:rPr>
                <w:rFonts w:asciiTheme="minorHAnsi" w:hAnsiTheme="minorHAnsi"/>
                <w:sz w:val="22"/>
                <w:szCs w:val="22"/>
              </w:rPr>
            </w:pPr>
            <w:r>
              <w:rPr>
                <w:sz w:val="22"/>
                <w:szCs w:val="22"/>
              </w:rPr>
              <w:t xml:space="preserve">California </w:t>
            </w:r>
          </w:p>
        </w:tc>
      </w:tr>
    </w:tbl>
    <w:p>
      <w:pPr>
        <w:spacing w:after="0" w:line="480" w:lineRule="auto"/>
        <w:rPr>
          <w:rFonts w:asciiTheme="majorHAnsi" w:hAnsiTheme="majorHAnsi" w:cstheme="majorHAnsi"/>
          <w:b/>
        </w:rPr>
      </w:pPr>
    </w:p>
    <w:p>
      <w:pPr>
        <w:spacing w:after="0" w:line="480" w:lineRule="auto"/>
        <w:rPr>
          <w:rFonts w:asciiTheme="majorHAnsi" w:hAnsiTheme="majorHAnsi" w:cstheme="majorHAnsi"/>
          <w:b/>
        </w:rPr>
      </w:pPr>
    </w:p>
    <w:p>
      <w:pPr>
        <w:spacing w:after="0" w:line="480" w:lineRule="auto"/>
        <w:rPr>
          <w:rFonts w:asciiTheme="majorHAnsi" w:hAnsiTheme="majorHAnsi" w:cstheme="majorHAnsi"/>
          <w:b/>
          <w:u w:val="single"/>
        </w:rPr>
      </w:pPr>
      <w:r>
        <w:rPr>
          <w:rFonts w:asciiTheme="majorHAnsi" w:hAnsiTheme="majorHAnsi" w:cstheme="majorHAnsi"/>
          <w:b/>
        </w:rPr>
        <w:lastRenderedPageBreak/>
        <w:t>II.</w:t>
      </w:r>
      <w:r>
        <w:rPr>
          <w:rFonts w:asciiTheme="majorHAnsi" w:hAnsiTheme="majorHAnsi" w:cstheme="majorHAnsi"/>
          <w:b/>
        </w:rPr>
        <w:tab/>
      </w:r>
      <w:r>
        <w:rPr>
          <w:rFonts w:asciiTheme="majorHAnsi" w:hAnsiTheme="majorHAnsi" w:cstheme="majorHAnsi"/>
          <w:b/>
          <w:u w:val="single"/>
        </w:rPr>
        <w:t>What Is The Role Of The FCC?</w:t>
      </w:r>
    </w:p>
    <w:p>
      <w:pPr>
        <w:spacing w:after="0" w:line="480" w:lineRule="auto"/>
        <w:rPr>
          <w:rFonts w:asciiTheme="majorHAnsi" w:hAnsiTheme="majorHAnsi" w:cstheme="majorHAnsi"/>
          <w:b/>
        </w:rPr>
      </w:pPr>
      <w:r>
        <w:rPr>
          <w:rFonts w:asciiTheme="majorHAnsi" w:hAnsiTheme="majorHAnsi" w:cstheme="majorHAnsi"/>
          <w:b/>
        </w:rPr>
        <w:tab/>
        <w:t>A.</w:t>
      </w:r>
      <w:r>
        <w:rPr>
          <w:rFonts w:asciiTheme="majorHAnsi" w:hAnsiTheme="majorHAnsi" w:cstheme="majorHAnsi"/>
          <w:b/>
        </w:rPr>
        <w:tab/>
      </w:r>
      <w:r>
        <w:rPr>
          <w:rFonts w:asciiTheme="majorHAnsi" w:hAnsiTheme="majorHAnsi" w:cstheme="majorHAnsi"/>
          <w:b/>
          <w:u w:val="single"/>
        </w:rPr>
        <w:t>Rulemaking</w:t>
      </w:r>
    </w:p>
    <w:p>
      <w:pPr>
        <w:spacing w:after="0" w:line="480" w:lineRule="auto"/>
        <w:ind w:firstLine="720"/>
        <w:rPr>
          <w:rFonts w:asciiTheme="majorHAnsi" w:hAnsiTheme="majorHAnsi" w:cstheme="majorHAnsi"/>
        </w:rPr>
      </w:pPr>
      <w:r>
        <w:rPr>
          <w:rFonts w:asciiTheme="majorHAnsi" w:hAnsiTheme="majorHAnsi" w:cstheme="majorHAnsi"/>
        </w:rPr>
        <w:t xml:space="preserve">Congress explicitly set forth the FCC’s role in implementing the overarching aims of the </w:t>
      </w:r>
      <w:proofErr w:type="spellStart"/>
      <w:r>
        <w:rPr>
          <w:rFonts w:asciiTheme="majorHAnsi" w:hAnsiTheme="majorHAnsi" w:cstheme="majorHAnsi"/>
        </w:rPr>
        <w:t>TCPA</w:t>
      </w:r>
      <w:proofErr w:type="spellEnd"/>
      <w:r>
        <w:rPr>
          <w:rFonts w:asciiTheme="majorHAnsi" w:hAnsiTheme="majorHAnsi" w:cstheme="majorHAnsi"/>
        </w:rPr>
        <w:t xml:space="preserve">, and the FCC continually issues declaratory rulings and order interpreting and implementing aspects of the </w:t>
      </w:r>
      <w:proofErr w:type="spellStart"/>
      <w:r>
        <w:rPr>
          <w:rFonts w:asciiTheme="majorHAnsi" w:hAnsiTheme="majorHAnsi" w:cstheme="majorHAnsi"/>
        </w:rPr>
        <w:t>TCPA</w:t>
      </w:r>
      <w:proofErr w:type="spellEnd"/>
      <w:r>
        <w:rPr>
          <w:rFonts w:asciiTheme="majorHAnsi" w:hAnsiTheme="majorHAnsi" w:cstheme="majorHAnsi"/>
        </w:rPr>
        <w:t xml:space="preserve">.  </w:t>
      </w:r>
    </w:p>
    <w:p>
      <w:pPr>
        <w:spacing w:after="0" w:line="480" w:lineRule="auto"/>
        <w:ind w:firstLine="720"/>
        <w:rPr>
          <w:rFonts w:asciiTheme="majorHAnsi" w:hAnsiTheme="majorHAnsi" w:cstheme="majorHAnsi"/>
        </w:rPr>
      </w:pPr>
      <w:r>
        <w:rPr>
          <w:rFonts w:asciiTheme="majorHAnsi" w:hAnsiTheme="majorHAnsi" w:cstheme="majorHAnsi"/>
        </w:rPr>
        <w:t>Section 227(b</w:t>
      </w:r>
      <w:proofErr w:type="gramStart"/>
      <w:r>
        <w:rPr>
          <w:rFonts w:asciiTheme="majorHAnsi" w:hAnsiTheme="majorHAnsi" w:cstheme="majorHAnsi"/>
        </w:rPr>
        <w:t>)(</w:t>
      </w:r>
      <w:proofErr w:type="gramEnd"/>
      <w:r>
        <w:rPr>
          <w:rFonts w:asciiTheme="majorHAnsi" w:hAnsiTheme="majorHAnsi" w:cstheme="majorHAnsi"/>
        </w:rPr>
        <w:t xml:space="preserve">2) of the </w:t>
      </w:r>
      <w:proofErr w:type="spellStart"/>
      <w:r>
        <w:rPr>
          <w:rFonts w:asciiTheme="majorHAnsi" w:hAnsiTheme="majorHAnsi" w:cstheme="majorHAnsi"/>
        </w:rPr>
        <w:t>TCPA</w:t>
      </w:r>
      <w:proofErr w:type="spellEnd"/>
      <w:r>
        <w:rPr>
          <w:rFonts w:asciiTheme="majorHAnsi" w:hAnsiTheme="majorHAnsi" w:cstheme="majorHAnsi"/>
        </w:rPr>
        <w:t xml:space="preserve"> authorizes and requires the FCC to promulgate implementing regulations: “The Commission shall prescribe regulations to implement the requirements of this subsection.”  The FCC is also authorized under the </w:t>
      </w:r>
      <w:proofErr w:type="spellStart"/>
      <w:r>
        <w:rPr>
          <w:rFonts w:asciiTheme="majorHAnsi" w:hAnsiTheme="majorHAnsi" w:cstheme="majorHAnsi"/>
        </w:rPr>
        <w:t>TCPA</w:t>
      </w:r>
      <w:proofErr w:type="spellEnd"/>
      <w:r>
        <w:rPr>
          <w:rFonts w:asciiTheme="majorHAnsi" w:hAnsiTheme="majorHAnsi" w:cstheme="majorHAnsi"/>
        </w:rPr>
        <w:t>, “by rule or order, [to] exempt from the [prohibition regarding prerecorded calls] . . . (</w:t>
      </w:r>
      <w:proofErr w:type="spellStart"/>
      <w:r>
        <w:rPr>
          <w:rFonts w:asciiTheme="majorHAnsi" w:hAnsiTheme="majorHAnsi" w:cstheme="majorHAnsi"/>
        </w:rPr>
        <w:t>i</w:t>
      </w:r>
      <w:proofErr w:type="spellEnd"/>
      <w:r>
        <w:rPr>
          <w:rFonts w:asciiTheme="majorHAnsi" w:hAnsiTheme="majorHAnsi" w:cstheme="majorHAnsi"/>
        </w:rPr>
        <w:t xml:space="preserve">) such classes or categories of calls made for commercial purposes as the Commission determines (I) will not adversely affect . . . privacy rights . . . ; and (II) do not include the transmission of any unsolicited advertisement.”  Thus, the </w:t>
      </w:r>
      <w:proofErr w:type="spellStart"/>
      <w:r>
        <w:rPr>
          <w:rFonts w:asciiTheme="majorHAnsi" w:hAnsiTheme="majorHAnsi" w:cstheme="majorHAnsi"/>
        </w:rPr>
        <w:t>TCPA</w:t>
      </w:r>
      <w:proofErr w:type="spellEnd"/>
      <w:r>
        <w:rPr>
          <w:rFonts w:asciiTheme="majorHAnsi" w:hAnsiTheme="majorHAnsi" w:cstheme="majorHAnsi"/>
        </w:rPr>
        <w:t xml:space="preserve"> both explicitly leaves gaps for the FCC to fill and authorizes and requires the FCC to engage in notice-and-comment rulemaking.  </w:t>
      </w:r>
      <w:proofErr w:type="spellStart"/>
      <w:r>
        <w:rPr>
          <w:rFonts w:asciiTheme="majorHAnsi" w:hAnsiTheme="majorHAnsi" w:cstheme="majorHAnsi"/>
          <w:i/>
        </w:rPr>
        <w:t>Gager</w:t>
      </w:r>
      <w:proofErr w:type="spellEnd"/>
      <w:r>
        <w:rPr>
          <w:rFonts w:asciiTheme="majorHAnsi" w:hAnsiTheme="majorHAnsi" w:cstheme="majorHAnsi"/>
          <w:i/>
        </w:rPr>
        <w:t xml:space="preserve"> v. Dell Fin. </w:t>
      </w:r>
      <w:proofErr w:type="spellStart"/>
      <w:r>
        <w:rPr>
          <w:rFonts w:asciiTheme="majorHAnsi" w:hAnsiTheme="majorHAnsi" w:cstheme="majorHAnsi"/>
          <w:i/>
        </w:rPr>
        <w:t>Servs</w:t>
      </w:r>
      <w:proofErr w:type="spellEnd"/>
      <w:r>
        <w:rPr>
          <w:rFonts w:asciiTheme="majorHAnsi" w:hAnsiTheme="majorHAnsi" w:cstheme="majorHAnsi"/>
          <w:i/>
        </w:rPr>
        <w:t>., LLC</w:t>
      </w:r>
      <w:r>
        <w:rPr>
          <w:rFonts w:asciiTheme="majorHAnsi" w:hAnsiTheme="majorHAnsi" w:cstheme="majorHAnsi"/>
        </w:rPr>
        <w:t xml:space="preserve">, 727 </w:t>
      </w:r>
      <w:proofErr w:type="spellStart"/>
      <w:r>
        <w:rPr>
          <w:rFonts w:asciiTheme="majorHAnsi" w:hAnsiTheme="majorHAnsi" w:cstheme="majorHAnsi"/>
        </w:rPr>
        <w:t>F.3d</w:t>
      </w:r>
      <w:proofErr w:type="spellEnd"/>
      <w:r>
        <w:rPr>
          <w:rFonts w:asciiTheme="majorHAnsi" w:hAnsiTheme="majorHAnsi" w:cstheme="majorHAnsi"/>
        </w:rPr>
        <w:t xml:space="preserve"> 265, 268 (</w:t>
      </w:r>
      <w:proofErr w:type="spellStart"/>
      <w:r>
        <w:rPr>
          <w:rFonts w:asciiTheme="majorHAnsi" w:hAnsiTheme="majorHAnsi" w:cstheme="majorHAnsi"/>
        </w:rPr>
        <w:t>3d</w:t>
      </w:r>
      <w:proofErr w:type="spellEnd"/>
      <w:r>
        <w:rPr>
          <w:rFonts w:asciiTheme="majorHAnsi" w:hAnsiTheme="majorHAnsi" w:cstheme="majorHAnsi"/>
        </w:rPr>
        <w:t xml:space="preserve"> Cir. 2013) (“Congress authorized [FCC] to implement rules and regulations enforcing the </w:t>
      </w:r>
      <w:proofErr w:type="spellStart"/>
      <w:r>
        <w:rPr>
          <w:rFonts w:asciiTheme="majorHAnsi" w:hAnsiTheme="majorHAnsi" w:cstheme="majorHAnsi"/>
        </w:rPr>
        <w:t>TCPA</w:t>
      </w:r>
      <w:proofErr w:type="spellEnd"/>
      <w:r>
        <w:rPr>
          <w:rFonts w:asciiTheme="majorHAnsi" w:hAnsiTheme="majorHAnsi" w:cstheme="majorHAnsi"/>
        </w:rPr>
        <w:t>.”)</w:t>
      </w:r>
    </w:p>
    <w:p>
      <w:pPr>
        <w:spacing w:after="0" w:line="480" w:lineRule="auto"/>
        <w:ind w:firstLine="720"/>
        <w:rPr>
          <w:rFonts w:asciiTheme="majorHAnsi" w:hAnsiTheme="majorHAnsi" w:cstheme="majorHAnsi"/>
        </w:rPr>
      </w:pPr>
      <w:r>
        <w:rPr>
          <w:rFonts w:asciiTheme="majorHAnsi" w:hAnsiTheme="majorHAnsi" w:cstheme="majorHAnsi"/>
        </w:rPr>
        <w:t>Even through its statutory findings, Congress made clear that it envisioned a large role for the FCC in fashioning rules that strike an appropriate balance between protecting consumers’ privacy and permitting legitimate telemarketing:</w:t>
      </w:r>
    </w:p>
    <w:p>
      <w:pPr>
        <w:ind w:left="1440" w:right="1440"/>
        <w:jc w:val="both"/>
        <w:rPr>
          <w:rFonts w:asciiTheme="majorHAnsi" w:hAnsiTheme="majorHAnsi" w:cstheme="majorHAnsi"/>
        </w:rPr>
      </w:pPr>
      <w:r>
        <w:rPr>
          <w:rFonts w:asciiTheme="majorHAnsi" w:hAnsiTheme="majorHAnsi" w:cstheme="majorHAnsi"/>
        </w:rPr>
        <w:t xml:space="preserve">While the evidence presented to the Congress indicates that automated or prerecorded calls are a nuisance and an invasion of privacy, regardless of the type of call, </w:t>
      </w:r>
      <w:r>
        <w:rPr>
          <w:rFonts w:asciiTheme="majorHAnsi" w:hAnsiTheme="majorHAnsi" w:cstheme="majorHAnsi"/>
          <w:i/>
        </w:rPr>
        <w:t>the [FCC] should have the flexibility to design different rules for those types of automated or prerecorded calls that it finds are not considered a nuisance or invasion of privacy, or for noncommercial calls, consistent with the free speech protections embodied in the First Amendment of the Constitution</w:t>
      </w:r>
      <w:r>
        <w:rPr>
          <w:rFonts w:asciiTheme="majorHAnsi" w:hAnsiTheme="majorHAnsi" w:cstheme="majorHAnsi"/>
        </w:rPr>
        <w:t>.</w:t>
      </w:r>
    </w:p>
    <w:p>
      <w:pPr>
        <w:spacing w:after="0" w:line="480" w:lineRule="auto"/>
        <w:rPr>
          <w:rFonts w:asciiTheme="majorHAnsi" w:hAnsiTheme="majorHAnsi" w:cstheme="majorHAnsi"/>
          <w:b/>
        </w:rPr>
      </w:pPr>
      <w:proofErr w:type="spellStart"/>
      <w:r>
        <w:rPr>
          <w:rFonts w:asciiTheme="majorHAnsi" w:hAnsiTheme="majorHAnsi" w:cstheme="majorHAnsi"/>
        </w:rPr>
        <w:lastRenderedPageBreak/>
        <w:t>TCPA</w:t>
      </w:r>
      <w:proofErr w:type="spellEnd"/>
      <w:r>
        <w:rPr>
          <w:rFonts w:asciiTheme="majorHAnsi" w:hAnsiTheme="majorHAnsi" w:cstheme="majorHAnsi"/>
        </w:rPr>
        <w:t xml:space="preserve">, PL 102–243, December 20, 1991, 105 Stat 2394 § 2(13) (emphasis added); </w:t>
      </w:r>
      <w:r>
        <w:rPr>
          <w:rFonts w:asciiTheme="majorHAnsi" w:hAnsiTheme="majorHAnsi" w:cstheme="majorHAnsi"/>
          <w:i/>
          <w:iCs/>
        </w:rPr>
        <w:t xml:space="preserve">see also id. </w:t>
      </w:r>
      <w:proofErr w:type="gramStart"/>
      <w:r>
        <w:rPr>
          <w:rFonts w:asciiTheme="majorHAnsi" w:hAnsiTheme="majorHAnsi" w:cstheme="majorHAnsi"/>
          <w:iCs/>
        </w:rPr>
        <w:t>at</w:t>
      </w:r>
      <w:proofErr w:type="gramEnd"/>
      <w:r>
        <w:rPr>
          <w:rFonts w:asciiTheme="majorHAnsi" w:hAnsiTheme="majorHAnsi" w:cstheme="majorHAnsi"/>
        </w:rPr>
        <w:t xml:space="preserve"> 105 Stat 2394 </w:t>
      </w:r>
      <w:r>
        <w:t>§ </w:t>
      </w:r>
      <w:r>
        <w:rPr>
          <w:rFonts w:asciiTheme="majorHAnsi" w:hAnsiTheme="majorHAnsi" w:cstheme="majorHAnsi"/>
        </w:rPr>
        <w:t>2(9).</w:t>
      </w:r>
      <w:r>
        <w:rPr>
          <w:rFonts w:asciiTheme="majorHAnsi" w:hAnsiTheme="majorHAnsi" w:cstheme="majorHAnsi"/>
          <w:b/>
        </w:rPr>
        <w:t xml:space="preserve"> </w:t>
      </w:r>
    </w:p>
    <w:p>
      <w:pPr>
        <w:spacing w:after="0" w:line="480" w:lineRule="auto"/>
        <w:rPr>
          <w:rFonts w:asciiTheme="majorHAnsi" w:hAnsiTheme="majorHAnsi" w:cstheme="majorHAnsi"/>
          <w:b/>
        </w:rPr>
      </w:pPr>
      <w:r>
        <w:rPr>
          <w:rFonts w:asciiTheme="majorHAnsi" w:hAnsiTheme="majorHAnsi" w:cstheme="majorHAnsi"/>
          <w:b/>
        </w:rPr>
        <w:tab/>
        <w:t>B.</w:t>
      </w:r>
      <w:r>
        <w:rPr>
          <w:rFonts w:asciiTheme="majorHAnsi" w:hAnsiTheme="majorHAnsi" w:cstheme="majorHAnsi"/>
          <w:b/>
        </w:rPr>
        <w:tab/>
      </w:r>
      <w:r>
        <w:rPr>
          <w:rFonts w:asciiTheme="majorHAnsi" w:hAnsiTheme="majorHAnsi" w:cstheme="majorHAnsi"/>
          <w:b/>
          <w:u w:val="single"/>
        </w:rPr>
        <w:t>National Do-Not-Call Registry</w:t>
      </w:r>
    </w:p>
    <w:p>
      <w:pPr>
        <w:spacing w:after="0" w:line="480" w:lineRule="auto"/>
        <w:ind w:firstLine="720"/>
        <w:rPr>
          <w:rFonts w:asciiTheme="majorHAnsi" w:hAnsiTheme="majorHAnsi" w:cstheme="majorHAnsi"/>
        </w:rPr>
      </w:pPr>
      <w:r>
        <w:rPr>
          <w:rFonts w:asciiTheme="majorHAnsi" w:hAnsiTheme="majorHAnsi" w:cstheme="majorHAnsi"/>
        </w:rPr>
        <w:t>In 2003, the FCC established the National Do-Not-Call Registry (“</w:t>
      </w:r>
      <w:proofErr w:type="spellStart"/>
      <w:r>
        <w:rPr>
          <w:rFonts w:asciiTheme="majorHAnsi" w:hAnsiTheme="majorHAnsi" w:cstheme="majorHAnsi"/>
        </w:rPr>
        <w:t>NDNCR</w:t>
      </w:r>
      <w:proofErr w:type="spellEnd"/>
      <w:r>
        <w:rPr>
          <w:rFonts w:asciiTheme="majorHAnsi" w:hAnsiTheme="majorHAnsi" w:cstheme="majorHAnsi"/>
        </w:rPr>
        <w:t xml:space="preserve">”) in coordination with the Federal Trade Commission. If telephone subscribers place their phone numbers on the </w:t>
      </w:r>
      <w:proofErr w:type="spellStart"/>
      <w:r>
        <w:rPr>
          <w:rFonts w:asciiTheme="majorHAnsi" w:hAnsiTheme="majorHAnsi" w:cstheme="majorHAnsi"/>
        </w:rPr>
        <w:t>NDNCR</w:t>
      </w:r>
      <w:proofErr w:type="spellEnd"/>
      <w:r>
        <w:rPr>
          <w:rFonts w:asciiTheme="majorHAnsi" w:hAnsiTheme="majorHAnsi" w:cstheme="majorHAnsi"/>
        </w:rPr>
        <w:t xml:space="preserve"> (either by phone or online at </w:t>
      </w:r>
      <w:r>
        <w:rPr>
          <w:rFonts w:asciiTheme="majorHAnsi" w:hAnsiTheme="majorHAnsi" w:cstheme="majorHAnsi"/>
          <w:i/>
        </w:rPr>
        <w:t>www.donotcall.gov</w:t>
      </w:r>
      <w:r>
        <w:rPr>
          <w:rFonts w:asciiTheme="majorHAnsi" w:hAnsiTheme="majorHAnsi" w:cstheme="majorHAnsi"/>
        </w:rPr>
        <w:t>), telemarketers may not call them unless either: (</w:t>
      </w:r>
      <w:proofErr w:type="spellStart"/>
      <w:r>
        <w:rPr>
          <w:rFonts w:asciiTheme="majorHAnsi" w:hAnsiTheme="majorHAnsi" w:cstheme="majorHAnsi"/>
        </w:rPr>
        <w:t>i</w:t>
      </w:r>
      <w:proofErr w:type="spellEnd"/>
      <w:r>
        <w:rPr>
          <w:rFonts w:asciiTheme="majorHAnsi" w:hAnsiTheme="majorHAnsi" w:cstheme="majorHAnsi"/>
        </w:rPr>
        <w:t xml:space="preserve">) there is an established business relationship with the consumer; or (ii) the consumer has given express written consent.  </w:t>
      </w:r>
      <w:r>
        <w:rPr>
          <w:rFonts w:asciiTheme="majorHAnsi" w:hAnsiTheme="majorHAnsi" w:cstheme="majorHAnsi"/>
          <w:i/>
        </w:rPr>
        <w:t>See</w:t>
      </w:r>
      <w:r>
        <w:rPr>
          <w:rFonts w:asciiTheme="majorHAnsi" w:hAnsiTheme="majorHAnsi" w:cstheme="majorHAnsi"/>
        </w:rPr>
        <w:t xml:space="preserve"> 47 </w:t>
      </w:r>
      <w:proofErr w:type="spellStart"/>
      <w:r>
        <w:rPr>
          <w:rFonts w:asciiTheme="majorHAnsi" w:hAnsiTheme="majorHAnsi" w:cstheme="majorHAnsi"/>
        </w:rPr>
        <w:t>U.S.C</w:t>
      </w:r>
      <w:proofErr w:type="spellEnd"/>
      <w:r>
        <w:rPr>
          <w:rFonts w:asciiTheme="majorHAnsi" w:hAnsiTheme="majorHAnsi" w:cstheme="majorHAnsi"/>
        </w:rPr>
        <w:t xml:space="preserve">. § 227(c); 47 </w:t>
      </w:r>
      <w:proofErr w:type="spellStart"/>
      <w:r>
        <w:rPr>
          <w:rFonts w:asciiTheme="majorHAnsi" w:hAnsiTheme="majorHAnsi" w:cstheme="majorHAnsi"/>
        </w:rPr>
        <w:t>C.F.R</w:t>
      </w:r>
      <w:proofErr w:type="spellEnd"/>
      <w:r>
        <w:rPr>
          <w:rFonts w:asciiTheme="majorHAnsi" w:hAnsiTheme="majorHAnsi" w:cstheme="majorHAnsi"/>
        </w:rPr>
        <w:t>. § 64.1200(c</w:t>
      </w:r>
      <w:proofErr w:type="gramStart"/>
      <w:r>
        <w:rPr>
          <w:rFonts w:asciiTheme="majorHAnsi" w:hAnsiTheme="majorHAnsi" w:cstheme="majorHAnsi"/>
        </w:rPr>
        <w:t>)(</w:t>
      </w:r>
      <w:proofErr w:type="gramEnd"/>
      <w:r>
        <w:rPr>
          <w:rFonts w:asciiTheme="majorHAnsi" w:hAnsiTheme="majorHAnsi" w:cstheme="majorHAnsi"/>
        </w:rPr>
        <w:t xml:space="preserve">2), (f)(14); </w:t>
      </w:r>
      <w:r>
        <w:t xml:space="preserve">16 </w:t>
      </w:r>
      <w:proofErr w:type="spellStart"/>
      <w:r>
        <w:t>C.F.R</w:t>
      </w:r>
      <w:proofErr w:type="spellEnd"/>
      <w:r>
        <w:t>. § 310.4(b)(1)(iii)(B)(</w:t>
      </w:r>
      <w:proofErr w:type="spellStart"/>
      <w:r>
        <w:t>i</w:t>
      </w:r>
      <w:proofErr w:type="spellEnd"/>
      <w:r>
        <w:t>-ii).</w:t>
      </w:r>
    </w:p>
    <w:p>
      <w:pPr>
        <w:spacing w:after="0" w:line="480" w:lineRule="auto"/>
        <w:ind w:firstLine="720"/>
      </w:pPr>
      <w:r>
        <w:t xml:space="preserve">The </w:t>
      </w:r>
      <w:proofErr w:type="spellStart"/>
      <w:r>
        <w:t>NDNCR’s</w:t>
      </w:r>
      <w:proofErr w:type="spellEnd"/>
      <w:r>
        <w:t xml:space="preserve"> restrictions apply only to telemarketing calls made by or on behalf of sellers of goods or services, and not to charitable or political fundraising calls.  </w:t>
      </w:r>
      <w:r>
        <w:rPr>
          <w:i/>
        </w:rPr>
        <w:t xml:space="preserve">See </w:t>
      </w:r>
      <w:r>
        <w:t xml:space="preserve">16 </w:t>
      </w:r>
      <w:proofErr w:type="spellStart"/>
      <w:r>
        <w:t>C.F.R</w:t>
      </w:r>
      <w:proofErr w:type="spellEnd"/>
      <w:r>
        <w:t>. §§ 310.4(b</w:t>
      </w:r>
      <w:proofErr w:type="gramStart"/>
      <w:r>
        <w:t>)(</w:t>
      </w:r>
      <w:proofErr w:type="gramEnd"/>
      <w:r>
        <w:t xml:space="preserve">1)(iii)(B), 310.6(a); 47 </w:t>
      </w:r>
      <w:proofErr w:type="spellStart"/>
      <w:r>
        <w:t>C.F.R</w:t>
      </w:r>
      <w:proofErr w:type="spellEnd"/>
      <w:r>
        <w:t xml:space="preserve">. §§ 64.1200(c)(2), 64.1200(f)(9).  </w:t>
      </w:r>
      <w:r>
        <w:rPr>
          <w:i/>
        </w:rPr>
        <w:t xml:space="preserve">See also Mainstream Mktg. </w:t>
      </w:r>
      <w:proofErr w:type="spellStart"/>
      <w:r>
        <w:rPr>
          <w:i/>
        </w:rPr>
        <w:t>Servs</w:t>
      </w:r>
      <w:proofErr w:type="spellEnd"/>
      <w:r>
        <w:rPr>
          <w:i/>
        </w:rPr>
        <w:t xml:space="preserve">., Inc. v. </w:t>
      </w:r>
      <w:proofErr w:type="spellStart"/>
      <w:r>
        <w:rPr>
          <w:i/>
        </w:rPr>
        <w:t>F.T.C</w:t>
      </w:r>
      <w:proofErr w:type="spellEnd"/>
      <w:r>
        <w:rPr>
          <w:i/>
        </w:rPr>
        <w:t>.</w:t>
      </w:r>
      <w:r>
        <w:t xml:space="preserve">, </w:t>
      </w:r>
      <w:proofErr w:type="gramStart"/>
      <w:r>
        <w:t>358</w:t>
      </w:r>
      <w:proofErr w:type="gramEnd"/>
      <w:r>
        <w:t xml:space="preserve"> </w:t>
      </w:r>
      <w:proofErr w:type="spellStart"/>
      <w:r>
        <w:t>F.3d</w:t>
      </w:r>
      <w:proofErr w:type="spellEnd"/>
      <w:r>
        <w:t xml:space="preserve"> 1228, 1234 (10th Cir. 2004).</w:t>
      </w:r>
    </w:p>
    <w:p>
      <w:pPr>
        <w:spacing w:after="0" w:line="480" w:lineRule="auto"/>
        <w:ind w:firstLine="720"/>
        <w:rPr>
          <w:rFonts w:asciiTheme="majorHAnsi" w:hAnsiTheme="majorHAnsi" w:cstheme="majorHAnsi"/>
        </w:rPr>
      </w:pPr>
      <w:r>
        <w:rPr>
          <w:rFonts w:asciiTheme="majorHAnsi" w:hAnsiTheme="majorHAnsi" w:cstheme="majorHAnsi"/>
        </w:rPr>
        <w:t xml:space="preserve">Telemarketers must stop making calls to numbers on the </w:t>
      </w:r>
      <w:proofErr w:type="spellStart"/>
      <w:r>
        <w:rPr>
          <w:rFonts w:asciiTheme="majorHAnsi" w:hAnsiTheme="majorHAnsi" w:cstheme="majorHAnsi"/>
        </w:rPr>
        <w:t>NDNCR</w:t>
      </w:r>
      <w:proofErr w:type="spellEnd"/>
      <w:r>
        <w:rPr>
          <w:rFonts w:asciiTheme="majorHAnsi" w:hAnsiTheme="majorHAnsi" w:cstheme="majorHAnsi"/>
        </w:rPr>
        <w:t xml:space="preserve"> within 31 days of when a number is added to it. </w:t>
      </w:r>
      <w:r>
        <w:rPr>
          <w:rFonts w:asciiTheme="majorHAnsi" w:hAnsiTheme="majorHAnsi" w:cstheme="majorHAnsi"/>
          <w:i/>
        </w:rPr>
        <w:t>See</w:t>
      </w:r>
      <w:r>
        <w:rPr>
          <w:rFonts w:asciiTheme="majorHAnsi" w:hAnsiTheme="majorHAnsi" w:cstheme="majorHAnsi"/>
        </w:rPr>
        <w:t xml:space="preserve"> 47 </w:t>
      </w:r>
      <w:proofErr w:type="spellStart"/>
      <w:r>
        <w:rPr>
          <w:rFonts w:asciiTheme="majorHAnsi" w:hAnsiTheme="majorHAnsi" w:cstheme="majorHAnsi"/>
        </w:rPr>
        <w:t>C.F.R</w:t>
      </w:r>
      <w:proofErr w:type="spellEnd"/>
      <w:r>
        <w:rPr>
          <w:rFonts w:asciiTheme="majorHAnsi" w:hAnsiTheme="majorHAnsi" w:cstheme="majorHAnsi"/>
        </w:rPr>
        <w:t>. § 64.1200(c</w:t>
      </w:r>
      <w:proofErr w:type="gramStart"/>
      <w:r>
        <w:rPr>
          <w:rFonts w:asciiTheme="majorHAnsi" w:hAnsiTheme="majorHAnsi" w:cstheme="majorHAnsi"/>
        </w:rPr>
        <w:t>)(</w:t>
      </w:r>
      <w:proofErr w:type="gramEnd"/>
      <w:r>
        <w:rPr>
          <w:rFonts w:asciiTheme="majorHAnsi" w:hAnsiTheme="majorHAnsi" w:cstheme="majorHAnsi"/>
        </w:rPr>
        <w:t>2)(</w:t>
      </w:r>
      <w:proofErr w:type="spellStart"/>
      <w:r>
        <w:rPr>
          <w:rFonts w:asciiTheme="majorHAnsi" w:hAnsiTheme="majorHAnsi" w:cstheme="majorHAnsi"/>
        </w:rPr>
        <w:t>i</w:t>
      </w:r>
      <w:proofErr w:type="spellEnd"/>
      <w:r>
        <w:rPr>
          <w:rFonts w:asciiTheme="majorHAnsi" w:hAnsiTheme="majorHAnsi" w:cstheme="majorHAnsi"/>
        </w:rPr>
        <w:t xml:space="preserve">)(D).  To access the </w:t>
      </w:r>
      <w:proofErr w:type="spellStart"/>
      <w:r>
        <w:rPr>
          <w:rFonts w:asciiTheme="majorHAnsi" w:hAnsiTheme="majorHAnsi" w:cstheme="majorHAnsi"/>
        </w:rPr>
        <w:t>NDNCR</w:t>
      </w:r>
      <w:proofErr w:type="spellEnd"/>
      <w:r>
        <w:rPr>
          <w:rFonts w:asciiTheme="majorHAnsi" w:hAnsiTheme="majorHAnsi" w:cstheme="majorHAnsi"/>
        </w:rPr>
        <w:t xml:space="preserve">, telemarketers must pay an annual fee for each area code to which they will be placing telemarketing calls.  The </w:t>
      </w:r>
      <w:proofErr w:type="spellStart"/>
      <w:r>
        <w:rPr>
          <w:rFonts w:asciiTheme="majorHAnsi" w:hAnsiTheme="majorHAnsi" w:cstheme="majorHAnsi"/>
        </w:rPr>
        <w:t>NDNCR</w:t>
      </w:r>
      <w:proofErr w:type="spellEnd"/>
      <w:r>
        <w:rPr>
          <w:rFonts w:asciiTheme="majorHAnsi" w:hAnsiTheme="majorHAnsi" w:cstheme="majorHAnsi"/>
        </w:rPr>
        <w:t xml:space="preserve"> provisions of the </w:t>
      </w:r>
      <w:proofErr w:type="spellStart"/>
      <w:r>
        <w:rPr>
          <w:rFonts w:asciiTheme="majorHAnsi" w:hAnsiTheme="majorHAnsi" w:cstheme="majorHAnsi"/>
        </w:rPr>
        <w:t>TCPA</w:t>
      </w:r>
      <w:proofErr w:type="spellEnd"/>
      <w:r>
        <w:rPr>
          <w:rFonts w:asciiTheme="majorHAnsi" w:hAnsiTheme="majorHAnsi" w:cstheme="majorHAnsi"/>
        </w:rPr>
        <w:t xml:space="preserve"> include a safe harbor defense if a company can demonstrate both that: </w:t>
      </w:r>
      <w:r>
        <w:t>(</w:t>
      </w:r>
      <w:proofErr w:type="spellStart"/>
      <w:r>
        <w:t>i</w:t>
      </w:r>
      <w:proofErr w:type="spellEnd"/>
      <w:r>
        <w:t>) t</w:t>
      </w:r>
      <w:r>
        <w:rPr>
          <w:rFonts w:asciiTheme="majorHAnsi" w:hAnsiTheme="majorHAnsi" w:cstheme="majorHAnsi"/>
        </w:rPr>
        <w:t xml:space="preserve">he call “is the result of error” and (ii) the company meets certain specific, such as having written compliance procedures, training of personnel, recordkeeping, and using a process to prevent calls in violation of the </w:t>
      </w:r>
      <w:proofErr w:type="spellStart"/>
      <w:r>
        <w:rPr>
          <w:rFonts w:asciiTheme="majorHAnsi" w:hAnsiTheme="majorHAnsi" w:cstheme="majorHAnsi"/>
        </w:rPr>
        <w:t>NDNCR</w:t>
      </w:r>
      <w:proofErr w:type="spellEnd"/>
      <w:r>
        <w:rPr>
          <w:rFonts w:asciiTheme="majorHAnsi" w:hAnsiTheme="majorHAnsi" w:cstheme="majorHAnsi"/>
        </w:rPr>
        <w:t xml:space="preserve">.  </w:t>
      </w:r>
      <w:r>
        <w:rPr>
          <w:rFonts w:asciiTheme="majorHAnsi" w:hAnsiTheme="majorHAnsi" w:cstheme="majorHAnsi"/>
          <w:i/>
        </w:rPr>
        <w:t>See</w:t>
      </w:r>
      <w:r>
        <w:rPr>
          <w:rFonts w:asciiTheme="majorHAnsi" w:hAnsiTheme="majorHAnsi" w:cstheme="majorHAnsi"/>
        </w:rPr>
        <w:t xml:space="preserve"> 47 </w:t>
      </w:r>
      <w:proofErr w:type="spellStart"/>
      <w:r>
        <w:rPr>
          <w:rFonts w:asciiTheme="majorHAnsi" w:hAnsiTheme="majorHAnsi" w:cstheme="majorHAnsi"/>
        </w:rPr>
        <w:t>C.F.R</w:t>
      </w:r>
      <w:proofErr w:type="spellEnd"/>
      <w:r>
        <w:rPr>
          <w:rFonts w:asciiTheme="majorHAnsi" w:hAnsiTheme="majorHAnsi" w:cstheme="majorHAnsi"/>
        </w:rPr>
        <w:t>. § 64.1200(c</w:t>
      </w:r>
      <w:proofErr w:type="gramStart"/>
      <w:r>
        <w:rPr>
          <w:rFonts w:asciiTheme="majorHAnsi" w:hAnsiTheme="majorHAnsi" w:cstheme="majorHAnsi"/>
        </w:rPr>
        <w:t>)(</w:t>
      </w:r>
      <w:proofErr w:type="gramEnd"/>
      <w:r>
        <w:rPr>
          <w:rFonts w:asciiTheme="majorHAnsi" w:hAnsiTheme="majorHAnsi" w:cstheme="majorHAnsi"/>
        </w:rPr>
        <w:t>2)(</w:t>
      </w:r>
      <w:proofErr w:type="spellStart"/>
      <w:r>
        <w:rPr>
          <w:rFonts w:asciiTheme="majorHAnsi" w:hAnsiTheme="majorHAnsi" w:cstheme="majorHAnsi"/>
        </w:rPr>
        <w:t>i</w:t>
      </w:r>
      <w:proofErr w:type="spellEnd"/>
      <w:r>
        <w:rPr>
          <w:rFonts w:asciiTheme="majorHAnsi" w:hAnsiTheme="majorHAnsi" w:cstheme="majorHAnsi"/>
        </w:rPr>
        <w:t>).)</w:t>
      </w:r>
    </w:p>
    <w:p>
      <w:pPr>
        <w:spacing w:after="0" w:line="480" w:lineRule="auto"/>
        <w:ind w:firstLine="720"/>
        <w:rPr>
          <w:rFonts w:asciiTheme="majorHAnsi" w:hAnsiTheme="majorHAnsi" w:cstheme="majorHAnsi"/>
        </w:rPr>
      </w:pPr>
      <w:r>
        <w:rPr>
          <w:rFonts w:asciiTheme="majorHAnsi" w:hAnsiTheme="majorHAnsi" w:cstheme="majorHAnsi"/>
        </w:rPr>
        <w:t xml:space="preserve">Companies are also required to maintain internal lists of phone numbers of consumers who have asked not to be called.  Companies must cease making calls to these numbers within a </w:t>
      </w:r>
      <w:r>
        <w:rPr>
          <w:rFonts w:asciiTheme="majorHAnsi" w:hAnsiTheme="majorHAnsi" w:cstheme="majorHAnsi"/>
        </w:rPr>
        <w:lastRenderedPageBreak/>
        <w:t xml:space="preserve">reasonable timeframe not exceeding 30 days. </w:t>
      </w:r>
      <w:r>
        <w:rPr>
          <w:rFonts w:asciiTheme="majorHAnsi" w:hAnsiTheme="majorHAnsi" w:cstheme="majorHAnsi"/>
          <w:i/>
        </w:rPr>
        <w:t xml:space="preserve">See </w:t>
      </w:r>
      <w:r>
        <w:rPr>
          <w:rFonts w:asciiTheme="majorHAnsi" w:hAnsiTheme="majorHAnsi" w:cstheme="majorHAnsi"/>
        </w:rPr>
        <w:t xml:space="preserve">47 </w:t>
      </w:r>
      <w:proofErr w:type="spellStart"/>
      <w:r>
        <w:rPr>
          <w:rFonts w:asciiTheme="majorHAnsi" w:hAnsiTheme="majorHAnsi" w:cstheme="majorHAnsi"/>
        </w:rPr>
        <w:t>C.F.R</w:t>
      </w:r>
      <w:proofErr w:type="spellEnd"/>
      <w:r>
        <w:rPr>
          <w:rFonts w:asciiTheme="majorHAnsi" w:hAnsiTheme="majorHAnsi" w:cstheme="majorHAnsi"/>
        </w:rPr>
        <w:t>. § 64.1200(d</w:t>
      </w:r>
      <w:proofErr w:type="gramStart"/>
      <w:r>
        <w:rPr>
          <w:rFonts w:asciiTheme="majorHAnsi" w:hAnsiTheme="majorHAnsi" w:cstheme="majorHAnsi"/>
        </w:rPr>
        <w:t>)(</w:t>
      </w:r>
      <w:proofErr w:type="gramEnd"/>
      <w:r>
        <w:rPr>
          <w:rFonts w:asciiTheme="majorHAnsi" w:hAnsiTheme="majorHAnsi" w:cstheme="majorHAnsi"/>
        </w:rPr>
        <w:t>3), (5), (6).  A seller-specific do-not-call request “terminates an [</w:t>
      </w:r>
      <w:proofErr w:type="spellStart"/>
      <w:r>
        <w:rPr>
          <w:rFonts w:asciiTheme="majorHAnsi" w:hAnsiTheme="majorHAnsi" w:cstheme="majorHAnsi"/>
        </w:rPr>
        <w:t>EBR</w:t>
      </w:r>
      <w:proofErr w:type="spellEnd"/>
      <w:r>
        <w:rPr>
          <w:rFonts w:asciiTheme="majorHAnsi" w:hAnsiTheme="majorHAnsi" w:cstheme="majorHAnsi"/>
        </w:rPr>
        <w:t xml:space="preserve">] for purposes of telemarketing and telephone solicitation even if the consumer continues to do business with the seller.”  47 </w:t>
      </w:r>
      <w:proofErr w:type="spellStart"/>
      <w:r>
        <w:rPr>
          <w:rFonts w:asciiTheme="majorHAnsi" w:hAnsiTheme="majorHAnsi" w:cstheme="majorHAnsi"/>
        </w:rPr>
        <w:t>C.F.R</w:t>
      </w:r>
      <w:proofErr w:type="spellEnd"/>
      <w:r>
        <w:rPr>
          <w:rFonts w:asciiTheme="majorHAnsi" w:hAnsiTheme="majorHAnsi" w:cstheme="majorHAnsi"/>
        </w:rPr>
        <w:t>. § 64.1200(f</w:t>
      </w:r>
      <w:proofErr w:type="gramStart"/>
      <w:r>
        <w:rPr>
          <w:rFonts w:asciiTheme="majorHAnsi" w:hAnsiTheme="majorHAnsi" w:cstheme="majorHAnsi"/>
        </w:rPr>
        <w:t>)(</w:t>
      </w:r>
      <w:proofErr w:type="gramEnd"/>
      <w:r>
        <w:rPr>
          <w:rFonts w:asciiTheme="majorHAnsi" w:hAnsiTheme="majorHAnsi" w:cstheme="majorHAnsi"/>
        </w:rPr>
        <w:t>5)(</w:t>
      </w:r>
      <w:proofErr w:type="spellStart"/>
      <w:r>
        <w:rPr>
          <w:rFonts w:asciiTheme="majorHAnsi" w:hAnsiTheme="majorHAnsi" w:cstheme="majorHAnsi"/>
        </w:rPr>
        <w:t>i</w:t>
      </w:r>
      <w:proofErr w:type="spellEnd"/>
      <w:r>
        <w:rPr>
          <w:rFonts w:asciiTheme="majorHAnsi" w:hAnsiTheme="majorHAnsi" w:cstheme="majorHAnsi"/>
        </w:rPr>
        <w:t>).</w:t>
      </w:r>
    </w:p>
    <w:p>
      <w:pPr>
        <w:spacing w:after="0" w:line="480" w:lineRule="auto"/>
        <w:rPr>
          <w:rFonts w:asciiTheme="majorHAnsi" w:hAnsiTheme="majorHAnsi" w:cstheme="majorHAnsi"/>
          <w:b/>
          <w:u w:val="single"/>
        </w:rPr>
      </w:pPr>
      <w:r>
        <w:rPr>
          <w:rFonts w:asciiTheme="majorHAnsi" w:hAnsiTheme="majorHAnsi" w:cstheme="majorHAnsi"/>
          <w:b/>
        </w:rPr>
        <w:t>V.</w:t>
      </w:r>
      <w:r>
        <w:rPr>
          <w:rFonts w:asciiTheme="majorHAnsi" w:hAnsiTheme="majorHAnsi" w:cstheme="majorHAnsi"/>
          <w:b/>
        </w:rPr>
        <w:tab/>
      </w:r>
      <w:r>
        <w:rPr>
          <w:rFonts w:asciiTheme="majorHAnsi" w:hAnsiTheme="majorHAnsi" w:cstheme="majorHAnsi"/>
          <w:b/>
          <w:u w:val="single"/>
        </w:rPr>
        <w:t xml:space="preserve">What Is An </w:t>
      </w:r>
      <w:proofErr w:type="spellStart"/>
      <w:r>
        <w:rPr>
          <w:rFonts w:asciiTheme="majorHAnsi" w:hAnsiTheme="majorHAnsi" w:cstheme="majorHAnsi"/>
          <w:b/>
          <w:u w:val="single"/>
        </w:rPr>
        <w:t>ATDS</w:t>
      </w:r>
      <w:proofErr w:type="spellEnd"/>
      <w:r>
        <w:rPr>
          <w:rFonts w:asciiTheme="majorHAnsi" w:hAnsiTheme="majorHAnsi" w:cstheme="majorHAnsi"/>
          <w:b/>
          <w:u w:val="single"/>
        </w:rPr>
        <w:t>?</w:t>
      </w:r>
    </w:p>
    <w:p>
      <w:pPr>
        <w:spacing w:after="0" w:line="480" w:lineRule="auto"/>
        <w:rPr>
          <w:rFonts w:asciiTheme="majorHAnsi" w:hAnsiTheme="majorHAnsi" w:cstheme="majorHAnsi"/>
        </w:rPr>
      </w:pPr>
      <w:r>
        <w:rPr>
          <w:rFonts w:asciiTheme="majorHAnsi" w:hAnsiTheme="majorHAnsi" w:cstheme="majorHAnsi"/>
        </w:rPr>
        <w:tab/>
        <w:t xml:space="preserve">Although the inquiry is seemingly simple, what exactly constitutes an </w:t>
      </w:r>
      <w:proofErr w:type="spellStart"/>
      <w:r>
        <w:rPr>
          <w:rFonts w:asciiTheme="majorHAnsi" w:hAnsiTheme="majorHAnsi" w:cstheme="majorHAnsi"/>
        </w:rPr>
        <w:t>ATDS</w:t>
      </w:r>
      <w:proofErr w:type="spellEnd"/>
      <w:r>
        <w:rPr>
          <w:rFonts w:asciiTheme="majorHAnsi" w:hAnsiTheme="majorHAnsi" w:cstheme="majorHAnsi"/>
        </w:rPr>
        <w:t xml:space="preserve"> is one of the least clear and most divisive issues under the </w:t>
      </w:r>
      <w:proofErr w:type="spellStart"/>
      <w:r>
        <w:rPr>
          <w:rFonts w:asciiTheme="majorHAnsi" w:hAnsiTheme="majorHAnsi" w:cstheme="majorHAnsi"/>
        </w:rPr>
        <w:t>TCPA</w:t>
      </w:r>
      <w:proofErr w:type="spellEnd"/>
      <w:r>
        <w:rPr>
          <w:rFonts w:asciiTheme="majorHAnsi" w:hAnsiTheme="majorHAnsi" w:cstheme="majorHAnsi"/>
        </w:rPr>
        <w:t xml:space="preserve">. </w:t>
      </w:r>
    </w:p>
    <w:p>
      <w:pPr>
        <w:spacing w:after="0" w:line="480" w:lineRule="auto"/>
        <w:ind w:firstLine="720"/>
      </w:pPr>
      <w:r>
        <w:t xml:space="preserve">The </w:t>
      </w:r>
      <w:proofErr w:type="spellStart"/>
      <w:r>
        <w:t>TCPA</w:t>
      </w:r>
      <w:proofErr w:type="spellEnd"/>
      <w:r>
        <w:t xml:space="preserve"> itself defines an automated telephone dialing system as “equipment which has the capacity (A) to store or produce telephone numbers to be called, using a random or sequential number generator; and (B) to dial such numbers.” 47 </w:t>
      </w:r>
      <w:proofErr w:type="spellStart"/>
      <w:r>
        <w:t>U.S.C</w:t>
      </w:r>
      <w:proofErr w:type="spellEnd"/>
      <w:r>
        <w:t>. § 227(a</w:t>
      </w:r>
      <w:proofErr w:type="gramStart"/>
      <w:r>
        <w:t>)(</w:t>
      </w:r>
      <w:proofErr w:type="gramEnd"/>
      <w:r>
        <w:t>1).</w:t>
      </w:r>
    </w:p>
    <w:p>
      <w:pPr>
        <w:spacing w:after="0" w:line="480" w:lineRule="auto"/>
        <w:ind w:firstLine="720"/>
      </w:pPr>
      <w:r>
        <w:t xml:space="preserve">Since 2003, the FCC has taken an increasingly expansive view, broadly holding that almost any predictive dialer qualifies as an </w:t>
      </w:r>
      <w:proofErr w:type="spellStart"/>
      <w:r>
        <w:t>ATDS</w:t>
      </w:r>
      <w:proofErr w:type="spellEnd"/>
      <w:r>
        <w:t xml:space="preserve">.  </w:t>
      </w:r>
      <w:r>
        <w:rPr>
          <w:i/>
        </w:rPr>
        <w:t xml:space="preserve">See In re Rules and Regulations Implementing the </w:t>
      </w:r>
      <w:proofErr w:type="spellStart"/>
      <w:r>
        <w:rPr>
          <w:i/>
        </w:rPr>
        <w:t>TCPA</w:t>
      </w:r>
      <w:proofErr w:type="spellEnd"/>
      <w:r>
        <w:t xml:space="preserve">, Report and Order, 18 FCC </w:t>
      </w:r>
      <w:proofErr w:type="spellStart"/>
      <w:r>
        <w:t>Rcd</w:t>
      </w:r>
      <w:proofErr w:type="spellEnd"/>
      <w:r>
        <w:t xml:space="preserve">. 14014, 14115 (July 3, 2003) at ¶¶ 131-34; </w:t>
      </w:r>
      <w:r>
        <w:rPr>
          <w:i/>
        </w:rPr>
        <w:t xml:space="preserve">see also In re Rules and Regulations Implementing the </w:t>
      </w:r>
      <w:proofErr w:type="spellStart"/>
      <w:r>
        <w:rPr>
          <w:i/>
        </w:rPr>
        <w:t>TCPA</w:t>
      </w:r>
      <w:proofErr w:type="spellEnd"/>
      <w:r>
        <w:rPr>
          <w:i/>
        </w:rPr>
        <w:t>, Declaratory Ruling and Order</w:t>
      </w:r>
      <w:r>
        <w:t xml:space="preserve">, FCC 15-72, Released July 10, 2015, </w:t>
      </w:r>
      <w:proofErr w:type="spellStart"/>
      <w:r>
        <w:t>MCP</w:t>
      </w:r>
      <w:proofErr w:type="spellEnd"/>
      <w:r>
        <w:t xml:space="preserve"> No. 134 (July 24, 2015) ¶¶ 13-24 (clarifying that the question of “capacity” refers to a system's “</w:t>
      </w:r>
      <w:r>
        <w:rPr>
          <w:i/>
        </w:rPr>
        <w:t>potential capacity</w:t>
      </w:r>
      <w:r>
        <w:t xml:space="preserve">,” as opposed to its “present capacity,” and stating that “the present use or present capacity test could render the </w:t>
      </w:r>
      <w:proofErr w:type="spellStart"/>
      <w:r>
        <w:t>TCPA’s</w:t>
      </w:r>
      <w:proofErr w:type="spellEnd"/>
      <w:r>
        <w:t xml:space="preserve"> protections largely meaningless by ensuring that little or no modern dialing equipment would fit the statutory definition of an </w:t>
      </w:r>
      <w:proofErr w:type="spellStart"/>
      <w:r>
        <w:t>autodialer</w:t>
      </w:r>
      <w:proofErr w:type="spellEnd"/>
      <w:r>
        <w:t xml:space="preserve">”) (emphasis added). </w:t>
      </w:r>
    </w:p>
    <w:p>
      <w:pPr>
        <w:spacing w:after="0" w:line="480" w:lineRule="auto"/>
        <w:ind w:firstLine="720"/>
      </w:pPr>
      <w:r>
        <w:t xml:space="preserve">Further, the FCC does not interpret the </w:t>
      </w:r>
      <w:proofErr w:type="spellStart"/>
      <w:r>
        <w:t>TCPA</w:t>
      </w:r>
      <w:proofErr w:type="spellEnd"/>
      <w:r>
        <w:t xml:space="preserve"> to require that an </w:t>
      </w:r>
      <w:proofErr w:type="spellStart"/>
      <w:r>
        <w:t>ATDS</w:t>
      </w:r>
      <w:proofErr w:type="spellEnd"/>
      <w:r>
        <w:t xml:space="preserve"> always have the capacity to use a </w:t>
      </w:r>
      <w:r>
        <w:rPr>
          <w:i/>
        </w:rPr>
        <w:t>random or sequential</w:t>
      </w:r>
      <w:r>
        <w:t xml:space="preserve"> number generator.  Thus, even where a company uses a pre-existing list or database of phone numbers, such a system will likely constitute an </w:t>
      </w:r>
      <w:proofErr w:type="spellStart"/>
      <w:r>
        <w:t>ATDS</w:t>
      </w:r>
      <w:proofErr w:type="spellEnd"/>
      <w:r>
        <w:t xml:space="preserve">.  </w:t>
      </w:r>
      <w:r>
        <w:rPr>
          <w:i/>
          <w:iCs/>
        </w:rPr>
        <w:t>See</w:t>
      </w:r>
      <w:r>
        <w:t xml:space="preserve"> </w:t>
      </w:r>
      <w:r>
        <w:rPr>
          <w:i/>
        </w:rPr>
        <w:t xml:space="preserve">In Re Rules &amp; Regulations Implementing the </w:t>
      </w:r>
      <w:proofErr w:type="spellStart"/>
      <w:r>
        <w:rPr>
          <w:i/>
        </w:rPr>
        <w:t>TCPA</w:t>
      </w:r>
      <w:proofErr w:type="spellEnd"/>
      <w:r>
        <w:t xml:space="preserve">, 18 </w:t>
      </w:r>
      <w:proofErr w:type="spellStart"/>
      <w:r>
        <w:t>F.C.C</w:t>
      </w:r>
      <w:proofErr w:type="spellEnd"/>
      <w:r>
        <w:t xml:space="preserve">. </w:t>
      </w:r>
      <w:proofErr w:type="spellStart"/>
      <w:r>
        <w:t>Rcd</w:t>
      </w:r>
      <w:proofErr w:type="spellEnd"/>
      <w:r>
        <w:t xml:space="preserve">. 14014, 14092 (2003) </w:t>
      </w:r>
      <w:r>
        <w:lastRenderedPageBreak/>
        <w:t xml:space="preserve">(“to exclude from these restrictions equipment that use predictive dialing software from the definition of ‘automated telephone dialing equipment’ simply because it relies on a given set of numbers [instead of creating and dialing 10-digit telephone numbers arbitrarily] would lead to an unintended result. Calls . . . would be permissible when the dialing equipment is paired with predictive dialing software and a </w:t>
      </w:r>
      <w:r>
        <w:rPr>
          <w:i/>
        </w:rPr>
        <w:t>database of numbers</w:t>
      </w:r>
      <w:r>
        <w:t>, but prohibited when the equipment operates independently of such lists and software packages.”) (</w:t>
      </w:r>
      <w:proofErr w:type="gramStart"/>
      <w:r>
        <w:t>emphasis</w:t>
      </w:r>
      <w:proofErr w:type="gramEnd"/>
      <w:r>
        <w:t xml:space="preserve"> added).  There has been some pushback by courts on this point, however.  </w:t>
      </w:r>
      <w:r>
        <w:rPr>
          <w:i/>
        </w:rPr>
        <w:t>See, e.g.</w:t>
      </w:r>
      <w:r>
        <w:t xml:space="preserve">, </w:t>
      </w:r>
      <w:r>
        <w:rPr>
          <w:i/>
        </w:rPr>
        <w:t>Johnson v. Yahoo!, Inc.</w:t>
      </w:r>
      <w:r>
        <w:t xml:space="preserve">, 2014 WL 7005102, at *3 (N.D. Ill. Dec. 11, 2014) (“the FCC’s interpretation on this point conflicts with the statutory requirement that an </w:t>
      </w:r>
      <w:proofErr w:type="spellStart"/>
      <w:r>
        <w:t>ATDS</w:t>
      </w:r>
      <w:proofErr w:type="spellEnd"/>
      <w:r>
        <w:t xml:space="preserve"> have the capacity “to store or produce telephone numbers to be called, </w:t>
      </w:r>
      <w:r>
        <w:rPr>
          <w:i/>
          <w:iCs/>
        </w:rPr>
        <w:t>using a random or sequential number generator</w:t>
      </w:r>
      <w:r>
        <w:t xml:space="preserve"> [.]”  47 </w:t>
      </w:r>
      <w:proofErr w:type="spellStart"/>
      <w:r>
        <w:t>U.S.C</w:t>
      </w:r>
      <w:proofErr w:type="spellEnd"/>
      <w:r>
        <w:t>. § 227(a</w:t>
      </w:r>
      <w:proofErr w:type="gramStart"/>
      <w:r>
        <w:t>)(</w:t>
      </w:r>
      <w:proofErr w:type="gramEnd"/>
      <w:r>
        <w:t xml:space="preserve">1)) (emphasis in original). </w:t>
      </w:r>
    </w:p>
    <w:p>
      <w:pPr>
        <w:spacing w:after="0" w:line="480" w:lineRule="auto"/>
        <w:ind w:firstLine="720"/>
        <w:rPr>
          <w:i/>
          <w:iCs/>
        </w:rPr>
      </w:pPr>
      <w:r>
        <w:t xml:space="preserve">Given that the use of an </w:t>
      </w:r>
      <w:proofErr w:type="spellStart"/>
      <w:r>
        <w:t>ATDS</w:t>
      </w:r>
      <w:proofErr w:type="spellEnd"/>
      <w:r>
        <w:t xml:space="preserve"> is an element of a </w:t>
      </w:r>
      <w:proofErr w:type="spellStart"/>
      <w:r>
        <w:t>TCPA</w:t>
      </w:r>
      <w:proofErr w:type="spellEnd"/>
      <w:r>
        <w:t xml:space="preserve"> claim, “it is not sufficient [for plaintiffs] to recite that fact verbatim without other supporting details.”  </w:t>
      </w:r>
      <w:proofErr w:type="gramStart"/>
      <w:r>
        <w:rPr>
          <w:i/>
        </w:rPr>
        <w:t xml:space="preserve">Izsak v. </w:t>
      </w:r>
      <w:proofErr w:type="spellStart"/>
      <w:r>
        <w:rPr>
          <w:i/>
        </w:rPr>
        <w:t>Draftkings</w:t>
      </w:r>
      <w:proofErr w:type="spellEnd"/>
      <w:r>
        <w:rPr>
          <w:i/>
        </w:rPr>
        <w:t>, Inc.</w:t>
      </w:r>
      <w:r>
        <w:t>, 2016 WL 3227299, at *3 (N.D. Ill. June 13, 2016) (internal quotation omitted).</w:t>
      </w:r>
      <w:proofErr w:type="gramEnd"/>
      <w:r>
        <w:t xml:space="preserve">  Rather, a plaintiff must plead additional, independent facts that “suggest beyond the speculative level that Defendant actually used an </w:t>
      </w:r>
      <w:proofErr w:type="spellStart"/>
      <w:r>
        <w:t>ATDS</w:t>
      </w:r>
      <w:proofErr w:type="spellEnd"/>
      <w:r>
        <w:t xml:space="preserve"> and is liable under the </w:t>
      </w:r>
      <w:proofErr w:type="spellStart"/>
      <w:r>
        <w:t>TCPA</w:t>
      </w:r>
      <w:proofErr w:type="spellEnd"/>
      <w:r>
        <w:t xml:space="preserve">.”  </w:t>
      </w:r>
      <w:r>
        <w:rPr>
          <w:i/>
        </w:rPr>
        <w:t>Id.</w:t>
      </w:r>
      <w:r>
        <w:t xml:space="preserve"> (internal quotation omitted).  Although a </w:t>
      </w:r>
      <w:proofErr w:type="spellStart"/>
      <w:r>
        <w:t>TCPA</w:t>
      </w:r>
      <w:proofErr w:type="spellEnd"/>
      <w:r>
        <w:t xml:space="preserve"> plaintiff is not be expected to plead details regarding the technical functionality of the alleged </w:t>
      </w:r>
      <w:proofErr w:type="spellStart"/>
      <w:r>
        <w:t>ATDS</w:t>
      </w:r>
      <w:proofErr w:type="spellEnd"/>
      <w:r>
        <w:t xml:space="preserve">, the complaint must include at least some facts to support the conclusion that an </w:t>
      </w:r>
      <w:proofErr w:type="spellStart"/>
      <w:r>
        <w:t>ATDS</w:t>
      </w:r>
      <w:proofErr w:type="spellEnd"/>
      <w:r>
        <w:t xml:space="preserve"> was used, such as a description of the promotional content of the call or the generic, impersonal nature of the text message allegedly sent using an </w:t>
      </w:r>
      <w:proofErr w:type="spellStart"/>
      <w:r>
        <w:t>ATDS</w:t>
      </w:r>
      <w:proofErr w:type="spellEnd"/>
      <w:r>
        <w:t xml:space="preserve">.  A plaintiff might also allege that identical messages were sent to many potential customers at the same time. </w:t>
      </w:r>
      <w:r>
        <w:rPr>
          <w:i/>
          <w:iCs/>
        </w:rPr>
        <w:t>Id.</w:t>
      </w:r>
    </w:p>
    <w:p>
      <w:pPr>
        <w:spacing w:after="0" w:line="480" w:lineRule="auto"/>
        <w:ind w:firstLine="720"/>
        <w:rPr>
          <w:i/>
          <w:iCs/>
        </w:rPr>
      </w:pPr>
    </w:p>
    <w:p>
      <w:pPr>
        <w:spacing w:after="0" w:line="480" w:lineRule="auto"/>
        <w:rPr>
          <w:rFonts w:asciiTheme="majorHAnsi" w:hAnsiTheme="majorHAnsi" w:cstheme="majorHAnsi"/>
          <w:b/>
          <w:u w:val="single"/>
        </w:rPr>
      </w:pPr>
      <w:r>
        <w:rPr>
          <w:rFonts w:asciiTheme="majorHAnsi" w:hAnsiTheme="majorHAnsi" w:cstheme="majorHAnsi"/>
          <w:b/>
        </w:rPr>
        <w:lastRenderedPageBreak/>
        <w:t>VI.</w:t>
      </w:r>
      <w:r>
        <w:rPr>
          <w:rFonts w:asciiTheme="majorHAnsi" w:hAnsiTheme="majorHAnsi" w:cstheme="majorHAnsi"/>
          <w:b/>
        </w:rPr>
        <w:tab/>
      </w:r>
      <w:r>
        <w:rPr>
          <w:rFonts w:asciiTheme="majorHAnsi" w:hAnsiTheme="majorHAnsi" w:cstheme="majorHAnsi"/>
          <w:b/>
          <w:u w:val="single"/>
        </w:rPr>
        <w:t>When Is Consent Required and How Do I Get It?</w:t>
      </w:r>
    </w:p>
    <w:p>
      <w:pPr>
        <w:spacing w:after="0" w:line="480" w:lineRule="auto"/>
        <w:ind w:firstLine="720"/>
      </w:pPr>
      <w:r>
        <w:t xml:space="preserve">Under the </w:t>
      </w:r>
      <w:proofErr w:type="spellStart"/>
      <w:r>
        <w:t>TCPA</w:t>
      </w:r>
      <w:proofErr w:type="spellEnd"/>
      <w:r>
        <w:t xml:space="preserve"> consent rules, some types of calls require prior express written consent, while other types of calls do not require that the consent be in writing. “Prior express written consent” is required for: </w:t>
      </w:r>
    </w:p>
    <w:p>
      <w:pPr>
        <w:pStyle w:val="ListParagraph"/>
        <w:numPr>
          <w:ilvl w:val="0"/>
          <w:numId w:val="31"/>
        </w:numPr>
        <w:spacing w:after="0" w:line="480" w:lineRule="auto"/>
      </w:pPr>
      <w:r>
        <w:t xml:space="preserve">all telemarketing/promotional calls/texts made using an </w:t>
      </w:r>
      <w:proofErr w:type="spellStart"/>
      <w:r>
        <w:t>ATDS</w:t>
      </w:r>
      <w:proofErr w:type="spellEnd"/>
      <w:r>
        <w:t xml:space="preserve"> placed to wireless numbers, and</w:t>
      </w:r>
    </w:p>
    <w:p>
      <w:pPr>
        <w:pStyle w:val="ListParagraph"/>
        <w:numPr>
          <w:ilvl w:val="0"/>
          <w:numId w:val="32"/>
        </w:numPr>
        <w:spacing w:after="0" w:line="480" w:lineRule="auto"/>
      </w:pPr>
      <w:proofErr w:type="gramStart"/>
      <w:r>
        <w:t>all</w:t>
      </w:r>
      <w:proofErr w:type="gramEnd"/>
      <w:r>
        <w:t xml:space="preserve"> artificial or prerecorded telemarketing/promotional voice calls to wireless and residential numbers.  Companies may obtain oral consent for non-telemarketing voice and text calls to wireless numbers made using an automatic telephone dialing system.  </w:t>
      </w:r>
      <w:r>
        <w:rPr>
          <w:i/>
        </w:rPr>
        <w:t xml:space="preserve">In re Rules and Regulations Implementing the </w:t>
      </w:r>
      <w:proofErr w:type="spellStart"/>
      <w:r>
        <w:rPr>
          <w:i/>
        </w:rPr>
        <w:t>TCPA</w:t>
      </w:r>
      <w:proofErr w:type="spellEnd"/>
      <w:r>
        <w:t>, CG Docket No. 02-278, Report and Order, FCC 12-21, ¶ 28 (February 15, 2012); § 64.1200(a</w:t>
      </w:r>
      <w:proofErr w:type="gramStart"/>
      <w:r>
        <w:t>)(</w:t>
      </w:r>
      <w:proofErr w:type="gramEnd"/>
      <w:r>
        <w:t xml:space="preserve">3). </w:t>
      </w:r>
    </w:p>
    <w:p>
      <w:pPr>
        <w:spacing w:after="0" w:line="480" w:lineRule="auto"/>
        <w:ind w:firstLine="720"/>
        <w:rPr>
          <w:rFonts w:asciiTheme="majorHAnsi" w:hAnsiTheme="majorHAnsi" w:cstheme="majorHAnsi"/>
          <w:b/>
          <w:u w:val="single"/>
        </w:rPr>
      </w:pPr>
      <w:r>
        <w:t xml:space="preserve">A helpful progression to understand when the </w:t>
      </w:r>
      <w:proofErr w:type="spellStart"/>
      <w:r>
        <w:t>TCPA</w:t>
      </w:r>
      <w:proofErr w:type="spellEnd"/>
      <w:r>
        <w:t xml:space="preserve"> requires consent is as follows:</w:t>
      </w:r>
      <w:r>
        <w:rPr>
          <w:rStyle w:val="FootnoteReference"/>
          <w:sz w:val="20"/>
          <w:szCs w:val="20"/>
        </w:rPr>
        <w:footnoteReference w:id="3"/>
      </w:r>
    </w:p>
    <w:p>
      <w:pPr>
        <w:shd w:val="clear" w:color="auto" w:fill="FFFFFF"/>
        <w:spacing w:after="0" w:line="480" w:lineRule="auto"/>
        <w:ind w:left="1440" w:hanging="720"/>
        <w:rPr>
          <w:rFonts w:asciiTheme="majorHAnsi" w:hAnsiTheme="majorHAnsi" w:cstheme="majorHAnsi"/>
          <w:b/>
          <w:i/>
        </w:rPr>
      </w:pPr>
      <w:r>
        <w:rPr>
          <w:rStyle w:val="Emphasis"/>
          <w:rFonts w:asciiTheme="majorHAnsi" w:hAnsiTheme="majorHAnsi" w:cstheme="majorHAnsi"/>
          <w:b/>
          <w:i w:val="0"/>
        </w:rPr>
        <w:t xml:space="preserve">(1)  </w:t>
      </w:r>
      <w:r>
        <w:rPr>
          <w:rStyle w:val="Emphasis"/>
          <w:rFonts w:asciiTheme="majorHAnsi" w:hAnsiTheme="majorHAnsi" w:cstheme="majorHAnsi"/>
          <w:b/>
          <w:i w:val="0"/>
        </w:rPr>
        <w:tab/>
        <w:t>For residential landline phones, do calls use an artificial voice or prerecorded message?</w:t>
      </w:r>
    </w:p>
    <w:p>
      <w:pPr>
        <w:pStyle w:val="ListParagraph"/>
        <w:numPr>
          <w:ilvl w:val="0"/>
          <w:numId w:val="28"/>
        </w:numPr>
        <w:shd w:val="clear" w:color="auto" w:fill="FFFFFF"/>
        <w:spacing w:after="0" w:line="480" w:lineRule="auto"/>
        <w:ind w:left="1440"/>
        <w:rPr>
          <w:rFonts w:asciiTheme="majorHAnsi" w:hAnsiTheme="majorHAnsi" w:cstheme="majorHAnsi"/>
        </w:rPr>
      </w:pPr>
      <w:r>
        <w:rPr>
          <w:rFonts w:asciiTheme="majorHAnsi" w:hAnsiTheme="majorHAnsi" w:cstheme="majorHAnsi"/>
        </w:rPr>
        <w:t xml:space="preserve">If no </w:t>
      </w:r>
      <w:r>
        <w:sym w:font="Wingdings" w:char="F0E0"/>
      </w:r>
      <w:r>
        <w:rPr>
          <w:rFonts w:asciiTheme="majorHAnsi" w:hAnsiTheme="majorHAnsi" w:cstheme="majorHAnsi"/>
        </w:rPr>
        <w:t xml:space="preserve"> the </w:t>
      </w:r>
      <w:proofErr w:type="spellStart"/>
      <w:r>
        <w:rPr>
          <w:rFonts w:asciiTheme="majorHAnsi" w:hAnsiTheme="majorHAnsi" w:cstheme="majorHAnsi"/>
        </w:rPr>
        <w:t>TCPA</w:t>
      </w:r>
      <w:proofErr w:type="spellEnd"/>
      <w:r>
        <w:rPr>
          <w:rFonts w:asciiTheme="majorHAnsi" w:hAnsiTheme="majorHAnsi" w:cstheme="majorHAnsi"/>
        </w:rPr>
        <w:t xml:space="preserve"> does not apply. The </w:t>
      </w:r>
      <w:proofErr w:type="spellStart"/>
      <w:r>
        <w:rPr>
          <w:rFonts w:asciiTheme="majorHAnsi" w:hAnsiTheme="majorHAnsi" w:cstheme="majorHAnsi"/>
        </w:rPr>
        <w:t>TCPA</w:t>
      </w:r>
      <w:proofErr w:type="spellEnd"/>
      <w:r>
        <w:rPr>
          <w:rFonts w:asciiTheme="majorHAnsi" w:hAnsiTheme="majorHAnsi" w:cstheme="majorHAnsi"/>
        </w:rPr>
        <w:t xml:space="preserve"> does not prohibit the use of </w:t>
      </w:r>
      <w:proofErr w:type="spellStart"/>
      <w:r>
        <w:rPr>
          <w:rFonts w:asciiTheme="majorHAnsi" w:hAnsiTheme="majorHAnsi" w:cstheme="majorHAnsi"/>
        </w:rPr>
        <w:t>autodialers</w:t>
      </w:r>
      <w:proofErr w:type="spellEnd"/>
      <w:r>
        <w:rPr>
          <w:rFonts w:asciiTheme="majorHAnsi" w:hAnsiTheme="majorHAnsi" w:cstheme="majorHAnsi"/>
        </w:rPr>
        <w:t xml:space="preserve"> to call residential phones.</w:t>
      </w:r>
    </w:p>
    <w:p>
      <w:pPr>
        <w:pStyle w:val="ListParagraph"/>
        <w:numPr>
          <w:ilvl w:val="0"/>
          <w:numId w:val="28"/>
        </w:numPr>
        <w:shd w:val="clear" w:color="auto" w:fill="FFFFFF"/>
        <w:spacing w:after="0" w:line="480" w:lineRule="auto"/>
        <w:ind w:left="1440"/>
        <w:rPr>
          <w:rFonts w:asciiTheme="majorHAnsi" w:hAnsiTheme="majorHAnsi" w:cstheme="majorHAnsi"/>
        </w:rPr>
      </w:pPr>
      <w:r>
        <w:rPr>
          <w:rFonts w:asciiTheme="majorHAnsi" w:hAnsiTheme="majorHAnsi" w:cstheme="majorHAnsi"/>
        </w:rPr>
        <w:t xml:space="preserve">If yes </w:t>
      </w:r>
      <w:r>
        <w:sym w:font="Wingdings" w:char="F0E0"/>
      </w:r>
      <w:r>
        <w:rPr>
          <w:rFonts w:asciiTheme="majorHAnsi" w:hAnsiTheme="majorHAnsi" w:cstheme="majorHAnsi"/>
        </w:rPr>
        <w:t xml:space="preserve"> See (3) below.</w:t>
      </w:r>
    </w:p>
    <w:p>
      <w:pPr>
        <w:shd w:val="clear" w:color="auto" w:fill="FFFFFF"/>
        <w:spacing w:after="0" w:line="480" w:lineRule="auto"/>
        <w:ind w:left="1440" w:hanging="720"/>
        <w:rPr>
          <w:rFonts w:asciiTheme="majorHAnsi" w:hAnsiTheme="majorHAnsi" w:cstheme="majorHAnsi"/>
          <w:b/>
          <w:i/>
        </w:rPr>
      </w:pPr>
      <w:r>
        <w:rPr>
          <w:rStyle w:val="Emphasis"/>
          <w:rFonts w:asciiTheme="majorHAnsi" w:hAnsiTheme="majorHAnsi" w:cstheme="majorHAnsi"/>
          <w:b/>
          <w:i w:val="0"/>
        </w:rPr>
        <w:t xml:space="preserve">(2) </w:t>
      </w:r>
      <w:r>
        <w:rPr>
          <w:rStyle w:val="Emphasis"/>
          <w:rFonts w:asciiTheme="majorHAnsi" w:hAnsiTheme="majorHAnsi" w:cstheme="majorHAnsi"/>
          <w:b/>
          <w:i w:val="0"/>
        </w:rPr>
        <w:tab/>
        <w:t xml:space="preserve">For cell phone calls, do calls use an artificial voice or prerecorded message </w:t>
      </w:r>
      <w:r>
        <w:rPr>
          <w:rStyle w:val="Emphasis"/>
          <w:rFonts w:asciiTheme="majorHAnsi" w:hAnsiTheme="majorHAnsi" w:cstheme="majorHAnsi"/>
          <w:b/>
        </w:rPr>
        <w:t>or</w:t>
      </w:r>
      <w:r>
        <w:rPr>
          <w:rStyle w:val="Emphasis"/>
          <w:rFonts w:asciiTheme="majorHAnsi" w:hAnsiTheme="majorHAnsi" w:cstheme="majorHAnsi"/>
          <w:b/>
          <w:i w:val="0"/>
        </w:rPr>
        <w:t xml:space="preserve"> an “automatic telephone dialing system”?</w:t>
      </w:r>
    </w:p>
    <w:p>
      <w:pPr>
        <w:pStyle w:val="ListParagraph"/>
        <w:numPr>
          <w:ilvl w:val="0"/>
          <w:numId w:val="29"/>
        </w:numPr>
        <w:shd w:val="clear" w:color="auto" w:fill="FFFFFF"/>
        <w:spacing w:after="0" w:line="480" w:lineRule="auto"/>
        <w:ind w:firstLine="60"/>
        <w:rPr>
          <w:rFonts w:asciiTheme="majorHAnsi" w:hAnsiTheme="majorHAnsi" w:cstheme="majorHAnsi"/>
        </w:rPr>
      </w:pPr>
      <w:r>
        <w:rPr>
          <w:rFonts w:asciiTheme="majorHAnsi" w:hAnsiTheme="majorHAnsi" w:cstheme="majorHAnsi"/>
        </w:rPr>
        <w:t xml:space="preserve">If no </w:t>
      </w:r>
      <w:r>
        <w:rPr>
          <w:rFonts w:asciiTheme="majorHAnsi" w:hAnsiTheme="majorHAnsi" w:cstheme="majorHAnsi"/>
        </w:rPr>
        <w:sym w:font="Wingdings" w:char="F0E0"/>
      </w:r>
      <w:r>
        <w:rPr>
          <w:rFonts w:asciiTheme="majorHAnsi" w:hAnsiTheme="majorHAnsi" w:cstheme="majorHAnsi"/>
        </w:rPr>
        <w:t xml:space="preserve"> the </w:t>
      </w:r>
      <w:proofErr w:type="spellStart"/>
      <w:r>
        <w:rPr>
          <w:rFonts w:asciiTheme="majorHAnsi" w:hAnsiTheme="majorHAnsi" w:cstheme="majorHAnsi"/>
        </w:rPr>
        <w:t>TCPA</w:t>
      </w:r>
      <w:proofErr w:type="spellEnd"/>
      <w:r>
        <w:rPr>
          <w:rFonts w:asciiTheme="majorHAnsi" w:hAnsiTheme="majorHAnsi" w:cstheme="majorHAnsi"/>
        </w:rPr>
        <w:t xml:space="preserve"> does not apply.</w:t>
      </w:r>
    </w:p>
    <w:p>
      <w:pPr>
        <w:pStyle w:val="ListParagraph"/>
        <w:numPr>
          <w:ilvl w:val="0"/>
          <w:numId w:val="29"/>
        </w:numPr>
        <w:shd w:val="clear" w:color="auto" w:fill="FFFFFF"/>
        <w:spacing w:after="0" w:line="480" w:lineRule="auto"/>
        <w:ind w:firstLine="60"/>
        <w:rPr>
          <w:rFonts w:asciiTheme="majorHAnsi" w:hAnsiTheme="majorHAnsi" w:cstheme="majorHAnsi"/>
        </w:rPr>
      </w:pPr>
      <w:r>
        <w:rPr>
          <w:rFonts w:asciiTheme="majorHAnsi" w:hAnsiTheme="majorHAnsi" w:cstheme="majorHAnsi"/>
        </w:rPr>
        <w:lastRenderedPageBreak/>
        <w:t xml:space="preserve">If yes </w:t>
      </w:r>
      <w:r>
        <w:rPr>
          <w:rFonts w:asciiTheme="majorHAnsi" w:hAnsiTheme="majorHAnsi" w:cstheme="majorHAnsi"/>
        </w:rPr>
        <w:sym w:font="Wingdings" w:char="F0E0"/>
      </w:r>
      <w:r>
        <w:rPr>
          <w:rFonts w:asciiTheme="majorHAnsi" w:hAnsiTheme="majorHAnsi" w:cstheme="majorHAnsi"/>
        </w:rPr>
        <w:t xml:space="preserve"> proceed to </w:t>
      </w:r>
      <w:r>
        <w:rPr>
          <w:rFonts w:asciiTheme="majorHAnsi" w:hAnsiTheme="majorHAnsi" w:cstheme="majorHAnsi"/>
          <w:b/>
        </w:rPr>
        <w:t>(3)</w:t>
      </w:r>
    </w:p>
    <w:p>
      <w:pPr>
        <w:shd w:val="clear" w:color="auto" w:fill="FFFFFF"/>
        <w:spacing w:after="0" w:line="480" w:lineRule="auto"/>
        <w:ind w:left="300" w:firstLine="420"/>
        <w:rPr>
          <w:rFonts w:asciiTheme="majorHAnsi" w:hAnsiTheme="majorHAnsi" w:cstheme="majorHAnsi"/>
          <w:b/>
          <w:i/>
        </w:rPr>
      </w:pPr>
      <w:r>
        <w:rPr>
          <w:rStyle w:val="Emphasis"/>
          <w:rFonts w:asciiTheme="majorHAnsi" w:hAnsiTheme="majorHAnsi" w:cstheme="majorHAnsi"/>
          <w:b/>
          <w:i w:val="0"/>
        </w:rPr>
        <w:t xml:space="preserve">(3) </w:t>
      </w:r>
      <w:r>
        <w:rPr>
          <w:rStyle w:val="Emphasis"/>
          <w:rFonts w:asciiTheme="majorHAnsi" w:hAnsiTheme="majorHAnsi" w:cstheme="majorHAnsi"/>
          <w:b/>
          <w:i w:val="0"/>
        </w:rPr>
        <w:tab/>
        <w:t>Does the call contain “telemarketing”?</w:t>
      </w:r>
    </w:p>
    <w:p>
      <w:pPr>
        <w:pStyle w:val="ListParagraph"/>
        <w:numPr>
          <w:ilvl w:val="0"/>
          <w:numId w:val="30"/>
        </w:numPr>
        <w:shd w:val="clear" w:color="auto" w:fill="FFFFFF"/>
        <w:spacing w:after="0" w:line="480" w:lineRule="auto"/>
        <w:ind w:left="1440"/>
        <w:rPr>
          <w:rFonts w:asciiTheme="majorHAnsi" w:hAnsiTheme="majorHAnsi" w:cstheme="majorHAnsi"/>
        </w:rPr>
      </w:pPr>
      <w:r>
        <w:rPr>
          <w:rFonts w:asciiTheme="majorHAnsi" w:hAnsiTheme="majorHAnsi" w:cstheme="majorHAnsi"/>
        </w:rPr>
        <w:t xml:space="preserve">If no </w:t>
      </w:r>
      <w:r>
        <w:rPr>
          <w:rFonts w:asciiTheme="majorHAnsi" w:hAnsiTheme="majorHAnsi" w:cstheme="majorHAnsi"/>
        </w:rPr>
        <w:sym w:font="Wingdings" w:char="F0E0"/>
      </w:r>
      <w:r>
        <w:rPr>
          <w:rFonts w:asciiTheme="majorHAnsi" w:hAnsiTheme="majorHAnsi" w:cstheme="majorHAnsi"/>
        </w:rPr>
        <w:t xml:space="preserve"> the written consent rules do not apply, but either </w:t>
      </w:r>
      <w:r>
        <w:rPr>
          <w:rFonts w:asciiTheme="majorHAnsi" w:hAnsiTheme="majorHAnsi" w:cstheme="majorHAnsi"/>
          <w:b/>
          <w:i/>
        </w:rPr>
        <w:t>oral or written consent is still required</w:t>
      </w:r>
      <w:r>
        <w:rPr>
          <w:rFonts w:asciiTheme="majorHAnsi" w:hAnsiTheme="majorHAnsi" w:cstheme="majorHAnsi"/>
        </w:rPr>
        <w:t xml:space="preserve"> for calls made to cell phones, regardless of content. </w:t>
      </w:r>
      <w:r>
        <w:rPr>
          <w:rFonts w:asciiTheme="majorHAnsi" w:hAnsiTheme="majorHAnsi" w:cstheme="majorHAnsi"/>
          <w:b/>
          <w:i/>
        </w:rPr>
        <w:t>Consent may also be required for residential calls if an exemption does not apply</w:t>
      </w:r>
      <w:r>
        <w:rPr>
          <w:rFonts w:asciiTheme="majorHAnsi" w:hAnsiTheme="majorHAnsi" w:cstheme="majorHAnsi"/>
          <w:i/>
        </w:rPr>
        <w:t>.</w:t>
      </w:r>
    </w:p>
    <w:p>
      <w:pPr>
        <w:pStyle w:val="ListParagraph"/>
        <w:numPr>
          <w:ilvl w:val="0"/>
          <w:numId w:val="30"/>
        </w:numPr>
        <w:shd w:val="clear" w:color="auto" w:fill="FFFFFF"/>
        <w:spacing w:after="0" w:line="480" w:lineRule="auto"/>
        <w:ind w:left="1440"/>
        <w:rPr>
          <w:rStyle w:val="Strong"/>
          <w:rFonts w:asciiTheme="majorHAnsi" w:hAnsiTheme="majorHAnsi" w:cstheme="majorHAnsi"/>
          <w:b w:val="0"/>
          <w:bCs w:val="0"/>
        </w:rPr>
      </w:pPr>
      <w:r>
        <w:rPr>
          <w:rFonts w:asciiTheme="majorHAnsi" w:hAnsiTheme="majorHAnsi" w:cstheme="majorHAnsi"/>
        </w:rPr>
        <w:t xml:space="preserve">If yes </w:t>
      </w:r>
      <w:r>
        <w:sym w:font="Wingdings" w:char="F0E0"/>
      </w:r>
      <w:r>
        <w:rPr>
          <w:rFonts w:asciiTheme="majorHAnsi" w:hAnsiTheme="majorHAnsi" w:cstheme="majorHAnsi"/>
        </w:rPr>
        <w:t xml:space="preserve"> </w:t>
      </w:r>
      <w:r>
        <w:rPr>
          <w:rFonts w:asciiTheme="majorHAnsi" w:hAnsiTheme="majorHAnsi" w:cstheme="majorHAnsi"/>
          <w:b/>
          <w:i/>
        </w:rPr>
        <w:t>w</w:t>
      </w:r>
      <w:r>
        <w:rPr>
          <w:rStyle w:val="Strong"/>
          <w:rFonts w:asciiTheme="majorHAnsi" w:hAnsiTheme="majorHAnsi" w:cstheme="majorHAnsi"/>
          <w:i/>
        </w:rPr>
        <w:t>ritten consent is required</w:t>
      </w:r>
      <w:r>
        <w:rPr>
          <w:rStyle w:val="Strong"/>
          <w:rFonts w:asciiTheme="majorHAnsi" w:hAnsiTheme="majorHAnsi" w:cstheme="majorHAnsi"/>
        </w:rPr>
        <w:t xml:space="preserve"> prior to initiating the telemarketing call.</w:t>
      </w:r>
    </w:p>
    <w:p>
      <w:pPr>
        <w:shd w:val="clear" w:color="auto" w:fill="FFFFFF"/>
        <w:spacing w:after="0" w:line="480" w:lineRule="auto"/>
        <w:jc w:val="center"/>
      </w:pPr>
      <w:r>
        <w:t>*</w:t>
      </w:r>
      <w:r>
        <w:tab/>
        <w:t>*</w:t>
      </w:r>
      <w:r>
        <w:tab/>
        <w:t>*</w:t>
      </w:r>
    </w:p>
    <w:p>
      <w:pPr>
        <w:shd w:val="clear" w:color="auto" w:fill="FFFFFF"/>
        <w:spacing w:after="0" w:line="480" w:lineRule="auto"/>
        <w:ind w:firstLine="720"/>
      </w:pPr>
      <w:r>
        <w:t xml:space="preserve">The FCC’s </w:t>
      </w:r>
      <w:proofErr w:type="spellStart"/>
      <w:r>
        <w:t>TCPA</w:t>
      </w:r>
      <w:proofErr w:type="spellEnd"/>
      <w:r>
        <w:t xml:space="preserve"> rules define “prior express written consent” as “an agreement, in writing, bearing the signature of the person called that clearly authorizes the seller to deliver or cause to be delivered to the person called advertisements or telemarketing messages using an automatic telephone dialing system or an artificial or prerecorded voice, and the telephone number to which the signatory authorizes such advertisements or telemarketing messages to be delivered.”  The rules further state that the written agreement shall include a clear and conspicuous disclosure informing the person signing that (A) by executing the agreement, such person authorizes the seller to deliver or cause to be delivered to the signatory telemarketing calls using an </w:t>
      </w:r>
      <w:proofErr w:type="spellStart"/>
      <w:r>
        <w:t>ATDS</w:t>
      </w:r>
      <w:proofErr w:type="spellEnd"/>
      <w:r>
        <w:t xml:space="preserve"> or an artificial or prerecorded voice and (B) the person is not required to sign the agreement or agree to enter into such an agreement as a condition of purchasing nay property, goods, or services.  </w:t>
      </w:r>
      <w:r>
        <w:rPr>
          <w:i/>
        </w:rPr>
        <w:t xml:space="preserve">See </w:t>
      </w:r>
      <w:r>
        <w:t xml:space="preserve">47 </w:t>
      </w:r>
      <w:proofErr w:type="spellStart"/>
      <w:r>
        <w:t>C.F.R</w:t>
      </w:r>
      <w:proofErr w:type="spellEnd"/>
      <w:r>
        <w:t>. § 64.1200(f</w:t>
      </w:r>
      <w:proofErr w:type="gramStart"/>
      <w:r>
        <w:t>)(</w:t>
      </w:r>
      <w:proofErr w:type="gramEnd"/>
      <w:r>
        <w:t>8)(</w:t>
      </w:r>
      <w:proofErr w:type="spellStart"/>
      <w:r>
        <w:t>i</w:t>
      </w:r>
      <w:proofErr w:type="spellEnd"/>
      <w:r>
        <w:t>).  “</w:t>
      </w:r>
      <w:r>
        <w:rPr>
          <w:rFonts w:asciiTheme="majorHAnsi" w:hAnsiTheme="majorHAnsi" w:cstheme="majorHAnsi"/>
          <w:shd w:val="clear" w:color="auto" w:fill="FFFFFF"/>
        </w:rPr>
        <w:t>Clear and conspicuous” means that the disclosure must be apparent to the reasonable consumer, separate and distinguishable from any advertising copy or other disclosures, and must not be hidden, printed in small, pale or non-contrasting type, or buried in unrelated information.</w:t>
      </w:r>
    </w:p>
    <w:p>
      <w:pPr>
        <w:spacing w:after="0" w:line="480" w:lineRule="auto"/>
        <w:ind w:firstLine="720"/>
        <w:rPr>
          <w:rFonts w:asciiTheme="majorHAnsi" w:hAnsiTheme="majorHAnsi" w:cstheme="majorHAnsi"/>
        </w:rPr>
      </w:pPr>
      <w:r>
        <w:rPr>
          <w:rFonts w:asciiTheme="majorHAnsi" w:hAnsiTheme="majorHAnsi" w:cstheme="majorHAnsi"/>
          <w:shd w:val="clear" w:color="auto" w:fill="FFFFFF"/>
        </w:rPr>
        <w:t xml:space="preserve">An electronic or digital form of signature is sufficient if it would be recognized as a valid signature under applicable federal or state contract law.  Consent obtained in compliance with </w:t>
      </w:r>
      <w:r>
        <w:rPr>
          <w:rFonts w:asciiTheme="majorHAnsi" w:hAnsiTheme="majorHAnsi" w:cstheme="majorHAnsi"/>
          <w:shd w:val="clear" w:color="auto" w:fill="FFFFFF"/>
        </w:rPr>
        <w:lastRenderedPageBreak/>
        <w:t>the E-SIGN Act</w:t>
      </w:r>
      <w:r>
        <w:rPr>
          <w:rStyle w:val="FootnoteReference"/>
          <w:rFonts w:asciiTheme="majorHAnsi" w:hAnsiTheme="majorHAnsi" w:cstheme="majorHAnsi"/>
          <w:shd w:val="clear" w:color="auto" w:fill="FFFFFF"/>
        </w:rPr>
        <w:footnoteReference w:id="4"/>
      </w:r>
      <w:r>
        <w:rPr>
          <w:rFonts w:asciiTheme="majorHAnsi" w:hAnsiTheme="majorHAnsi" w:cstheme="majorHAnsi"/>
          <w:shd w:val="clear" w:color="auto" w:fill="FFFFFF"/>
        </w:rPr>
        <w:t xml:space="preserve"> (including through email, website form, text message, telephone keypress or voice recording) is also sufficient.</w:t>
      </w:r>
    </w:p>
    <w:p>
      <w:pPr>
        <w:spacing w:after="0" w:line="480" w:lineRule="auto"/>
        <w:ind w:firstLine="720"/>
      </w:pPr>
      <w:r>
        <w:t xml:space="preserve"> “For non-telemarketing and non-advertising calls, express consent can be demonstrated   . . . in the absence of instructions to the contrary, by [the called party] giving his or her wireless number to the person initiating the autodialed or prerecorded call.”  However, “[b]y itself, the fact that a phone number is in a contact list fails to provide any evidence that the subscriber to that number even gave the number to the owner of the contact list.  </w:t>
      </w:r>
      <w:proofErr w:type="gramStart"/>
      <w:r>
        <w:rPr>
          <w:i/>
          <w:iCs/>
        </w:rPr>
        <w:t xml:space="preserve">In re Rules &amp; Regulations Implementing the </w:t>
      </w:r>
      <w:proofErr w:type="spellStart"/>
      <w:r>
        <w:rPr>
          <w:i/>
          <w:iCs/>
        </w:rPr>
        <w:t>TCPA</w:t>
      </w:r>
      <w:proofErr w:type="spellEnd"/>
      <w:r>
        <w:t xml:space="preserve">, 30 </w:t>
      </w:r>
      <w:proofErr w:type="spellStart"/>
      <w:r>
        <w:t>F.C.C.R</w:t>
      </w:r>
      <w:proofErr w:type="spellEnd"/>
      <w:r>
        <w:t>. 7961, 7991–92 ¶ 52 (</w:t>
      </w:r>
      <w:proofErr w:type="spellStart"/>
      <w:r>
        <w:t>F.C.C</w:t>
      </w:r>
      <w:proofErr w:type="spellEnd"/>
      <w:r>
        <w:t>. July 10, 2015).</w:t>
      </w:r>
      <w:proofErr w:type="gramEnd"/>
      <w:r>
        <w:t xml:space="preserve">  And “the consumer may revoke his or her consent in any reasonable manner that clearly expresses his or her desire not to receive further calls.”  </w:t>
      </w:r>
      <w:proofErr w:type="gramStart"/>
      <w:r>
        <w:rPr>
          <w:i/>
          <w:iCs/>
        </w:rPr>
        <w:t>Id.</w:t>
      </w:r>
      <w:r>
        <w:t xml:space="preserve"> at 7998-99, ¶ 70.</w:t>
      </w:r>
      <w:proofErr w:type="gramEnd"/>
      <w:r>
        <w:t xml:space="preserve"> </w:t>
      </w:r>
    </w:p>
    <w:p>
      <w:pPr>
        <w:spacing w:after="0" w:line="480" w:lineRule="auto"/>
      </w:pPr>
      <w:r>
        <w:tab/>
        <w:t xml:space="preserve">As to text messages, </w:t>
      </w:r>
      <w:r>
        <w:rPr>
          <w:i/>
        </w:rPr>
        <w:t>p</w:t>
      </w:r>
      <w:r>
        <w:rPr>
          <w:i/>
          <w:iCs/>
        </w:rPr>
        <w:t>rior express consent</w:t>
      </w:r>
      <w:r>
        <w:t xml:space="preserve">, rather than prior express </w:t>
      </w:r>
      <w:r>
        <w:rPr>
          <w:i/>
          <w:iCs/>
        </w:rPr>
        <w:t>written</w:t>
      </w:r>
      <w:r>
        <w:t xml:space="preserve"> consent, is all that is required for text messages that include or introduce an advertisement or which constitute telemarketing in two narrow circumstances: (</w:t>
      </w:r>
      <w:proofErr w:type="spellStart"/>
      <w:r>
        <w:t>i</w:t>
      </w:r>
      <w:proofErr w:type="spellEnd"/>
      <w:r>
        <w:t>) when the call or text is made or sent by or on behalf of a tax-exempt nonprofit organization; or (ii) if the call or text delivers a “health care” message made by, or on behalf of, a “covered entity” or its “business associate” (as those terms are defined under HIPAA.</w:t>
      </w:r>
    </w:p>
    <w:p>
      <w:pPr>
        <w:spacing w:after="0" w:line="480" w:lineRule="auto"/>
        <w:rPr>
          <w:rFonts w:asciiTheme="majorHAnsi" w:hAnsiTheme="majorHAnsi" w:cstheme="majorHAnsi"/>
          <w:b/>
          <w:u w:val="single"/>
        </w:rPr>
      </w:pPr>
      <w:r>
        <w:rPr>
          <w:rFonts w:asciiTheme="majorHAnsi" w:hAnsiTheme="majorHAnsi" w:cstheme="majorHAnsi"/>
          <w:b/>
        </w:rPr>
        <w:t>VII.</w:t>
      </w:r>
      <w:r>
        <w:rPr>
          <w:rFonts w:asciiTheme="majorHAnsi" w:hAnsiTheme="majorHAnsi" w:cstheme="majorHAnsi"/>
          <w:b/>
        </w:rPr>
        <w:tab/>
      </w:r>
      <w:r>
        <w:rPr>
          <w:rFonts w:asciiTheme="majorHAnsi" w:hAnsiTheme="majorHAnsi" w:cstheme="majorHAnsi"/>
          <w:b/>
          <w:u w:val="single"/>
        </w:rPr>
        <w:t xml:space="preserve">How Can </w:t>
      </w:r>
      <w:proofErr w:type="spellStart"/>
      <w:r>
        <w:rPr>
          <w:rFonts w:asciiTheme="majorHAnsi" w:hAnsiTheme="majorHAnsi" w:cstheme="majorHAnsi"/>
          <w:b/>
          <w:u w:val="single"/>
        </w:rPr>
        <w:t>TCPA</w:t>
      </w:r>
      <w:proofErr w:type="spellEnd"/>
      <w:r>
        <w:rPr>
          <w:rFonts w:asciiTheme="majorHAnsi" w:hAnsiTheme="majorHAnsi" w:cstheme="majorHAnsi"/>
          <w:b/>
          <w:u w:val="single"/>
        </w:rPr>
        <w:t xml:space="preserve"> Claims Be Defended?</w:t>
      </w:r>
    </w:p>
    <w:p>
      <w:pPr>
        <w:spacing w:after="0" w:line="480" w:lineRule="auto"/>
        <w:rPr>
          <w:rFonts w:asciiTheme="majorHAnsi" w:hAnsiTheme="majorHAnsi" w:cstheme="majorHAnsi"/>
        </w:rPr>
      </w:pPr>
      <w:r>
        <w:rPr>
          <w:rFonts w:asciiTheme="majorHAnsi" w:hAnsiTheme="majorHAnsi" w:cstheme="majorHAnsi"/>
        </w:rPr>
        <w:tab/>
        <w:t xml:space="preserve">While the </w:t>
      </w:r>
      <w:proofErr w:type="spellStart"/>
      <w:r>
        <w:rPr>
          <w:rFonts w:asciiTheme="majorHAnsi" w:hAnsiTheme="majorHAnsi" w:cstheme="majorHAnsi"/>
        </w:rPr>
        <w:t>TCPA’s</w:t>
      </w:r>
      <w:proofErr w:type="spellEnd"/>
      <w:r>
        <w:rPr>
          <w:rFonts w:asciiTheme="majorHAnsi" w:hAnsiTheme="majorHAnsi" w:cstheme="majorHAnsi"/>
        </w:rPr>
        <w:t xml:space="preserve"> imposition of virtually no-fault liability might seem daunting, there are still several significant possible lines of defense that businesses should explore when faced with a </w:t>
      </w:r>
      <w:proofErr w:type="spellStart"/>
      <w:r>
        <w:rPr>
          <w:rFonts w:asciiTheme="majorHAnsi" w:hAnsiTheme="majorHAnsi" w:cstheme="majorHAnsi"/>
        </w:rPr>
        <w:t>TCPA</w:t>
      </w:r>
      <w:proofErr w:type="spellEnd"/>
      <w:r>
        <w:rPr>
          <w:rFonts w:asciiTheme="majorHAnsi" w:hAnsiTheme="majorHAnsi" w:cstheme="majorHAnsi"/>
        </w:rPr>
        <w:t xml:space="preserve"> claim.</w:t>
      </w:r>
    </w:p>
    <w:p>
      <w:pPr>
        <w:spacing w:after="0" w:line="480" w:lineRule="auto"/>
        <w:rPr>
          <w:rFonts w:asciiTheme="majorHAnsi" w:hAnsiTheme="majorHAnsi" w:cstheme="majorHAnsi"/>
        </w:rPr>
      </w:pPr>
    </w:p>
    <w:p>
      <w:pPr>
        <w:spacing w:after="0" w:line="480" w:lineRule="auto"/>
        <w:rPr>
          <w:rFonts w:asciiTheme="majorHAnsi" w:hAnsiTheme="majorHAnsi" w:cstheme="majorHAnsi"/>
        </w:rPr>
      </w:pPr>
    </w:p>
    <w:p>
      <w:pPr>
        <w:spacing w:after="0" w:line="480" w:lineRule="auto"/>
        <w:ind w:firstLine="720"/>
        <w:rPr>
          <w:rFonts w:asciiTheme="majorHAnsi" w:hAnsiTheme="majorHAnsi" w:cstheme="majorHAnsi"/>
          <w:b/>
          <w:i/>
        </w:rPr>
      </w:pPr>
      <w:r>
        <w:rPr>
          <w:rFonts w:asciiTheme="majorHAnsi" w:hAnsiTheme="majorHAnsi" w:cstheme="majorHAnsi"/>
          <w:b/>
        </w:rPr>
        <w:lastRenderedPageBreak/>
        <w:t>A.</w:t>
      </w:r>
      <w:r>
        <w:rPr>
          <w:rFonts w:asciiTheme="majorHAnsi" w:hAnsiTheme="majorHAnsi" w:cstheme="majorHAnsi"/>
          <w:b/>
        </w:rPr>
        <w:tab/>
      </w:r>
      <w:r>
        <w:rPr>
          <w:rFonts w:asciiTheme="majorHAnsi" w:hAnsiTheme="majorHAnsi" w:cstheme="majorHAnsi"/>
          <w:b/>
          <w:u w:val="single"/>
        </w:rPr>
        <w:t xml:space="preserve">Article III Standing after </w:t>
      </w:r>
      <w:proofErr w:type="spellStart"/>
      <w:r>
        <w:rPr>
          <w:rFonts w:asciiTheme="majorHAnsi" w:hAnsiTheme="majorHAnsi" w:cstheme="majorHAnsi"/>
          <w:b/>
          <w:i/>
          <w:u w:val="single"/>
        </w:rPr>
        <w:t>Spokeo</w:t>
      </w:r>
      <w:proofErr w:type="spellEnd"/>
    </w:p>
    <w:p>
      <w:pPr>
        <w:shd w:val="clear" w:color="auto" w:fill="FFFFFF"/>
        <w:spacing w:after="0" w:line="480" w:lineRule="auto"/>
        <w:ind w:firstLine="720"/>
        <w:textAlignment w:val="baseline"/>
        <w:rPr>
          <w:rFonts w:asciiTheme="majorHAnsi" w:hAnsiTheme="majorHAnsi" w:cstheme="majorHAnsi"/>
        </w:rPr>
      </w:pPr>
      <w:r>
        <w:t xml:space="preserve">Most courts permit either a subscriber or a regular user of a telephone number, even if not the subscriber, to recover under the </w:t>
      </w:r>
      <w:proofErr w:type="spellStart"/>
      <w:r>
        <w:t>TCPA</w:t>
      </w:r>
      <w:proofErr w:type="spellEnd"/>
      <w:r>
        <w:t xml:space="preserve">.  </w:t>
      </w:r>
      <w:proofErr w:type="gramStart"/>
      <w:r>
        <w:rPr>
          <w:i/>
        </w:rPr>
        <w:t>See, e.g.</w:t>
      </w:r>
      <w:r>
        <w:t xml:space="preserve">, </w:t>
      </w:r>
      <w:r>
        <w:rPr>
          <w:i/>
        </w:rPr>
        <w:t xml:space="preserve">Olney v. Progressive </w:t>
      </w:r>
      <w:proofErr w:type="spellStart"/>
      <w:r>
        <w:rPr>
          <w:i/>
        </w:rPr>
        <w:t>Cas</w:t>
      </w:r>
      <w:proofErr w:type="spellEnd"/>
      <w:r>
        <w:rPr>
          <w:i/>
        </w:rPr>
        <w:t>.</w:t>
      </w:r>
      <w:proofErr w:type="gramEnd"/>
      <w:r>
        <w:rPr>
          <w:i/>
        </w:rPr>
        <w:t xml:space="preserve"> Ins. Co.</w:t>
      </w:r>
      <w:r>
        <w:t xml:space="preserve">, 993 F. Supp. </w:t>
      </w:r>
      <w:proofErr w:type="spellStart"/>
      <w:r>
        <w:t>2d</w:t>
      </w:r>
      <w:proofErr w:type="spellEnd"/>
      <w:r>
        <w:t xml:space="preserve"> 1220, 1226 (S.D. Cal. 2014) (holding that “the regular user of a cellular telephone has standing to bring claim under </w:t>
      </w:r>
      <w:proofErr w:type="spellStart"/>
      <w:r>
        <w:t>TCPA</w:t>
      </w:r>
      <w:proofErr w:type="spellEnd"/>
      <w:r>
        <w:t xml:space="preserve">, regardless of whether he is responsible for paying bill”).  However, statutory standing alone does not necessarily satisfy Article </w:t>
      </w:r>
      <w:proofErr w:type="spellStart"/>
      <w:r>
        <w:t>III’s</w:t>
      </w:r>
      <w:proofErr w:type="spellEnd"/>
      <w:r>
        <w:t xml:space="preserve"> “case or controversy” requirement.</w:t>
      </w:r>
    </w:p>
    <w:p>
      <w:pPr>
        <w:shd w:val="clear" w:color="auto" w:fill="FFFFFF"/>
        <w:spacing w:after="0" w:line="480" w:lineRule="auto"/>
        <w:ind w:firstLine="720"/>
        <w:textAlignment w:val="baseline"/>
        <w:rPr>
          <w:rFonts w:asciiTheme="majorHAnsi" w:hAnsiTheme="majorHAnsi" w:cstheme="majorHAnsi"/>
        </w:rPr>
      </w:pPr>
      <w:r>
        <w:rPr>
          <w:rFonts w:asciiTheme="majorHAnsi" w:hAnsiTheme="majorHAnsi" w:cstheme="majorHAnsi"/>
        </w:rPr>
        <w:t xml:space="preserve">On May 16, 2016, the Supreme Court of the United States issued its decision in </w:t>
      </w:r>
      <w:proofErr w:type="spellStart"/>
      <w:r>
        <w:rPr>
          <w:rFonts w:asciiTheme="majorHAnsi" w:hAnsiTheme="majorHAnsi" w:cstheme="majorHAnsi"/>
          <w:i/>
          <w:iCs/>
          <w:bdr w:val="none" w:sz="0" w:space="0" w:color="auto" w:frame="1"/>
        </w:rPr>
        <w:t>Spokeo</w:t>
      </w:r>
      <w:proofErr w:type="spellEnd"/>
      <w:r>
        <w:rPr>
          <w:rFonts w:asciiTheme="majorHAnsi" w:hAnsiTheme="majorHAnsi" w:cstheme="majorHAnsi"/>
          <w:i/>
          <w:iCs/>
          <w:bdr w:val="none" w:sz="0" w:space="0" w:color="auto" w:frame="1"/>
        </w:rPr>
        <w:t>, Inc. v. Robins</w:t>
      </w:r>
      <w:r>
        <w:rPr>
          <w:rStyle w:val="FootnoteReference"/>
          <w:rFonts w:asciiTheme="majorHAnsi" w:hAnsiTheme="majorHAnsi" w:cstheme="majorHAnsi"/>
          <w:i/>
          <w:iCs/>
          <w:sz w:val="20"/>
          <w:szCs w:val="20"/>
          <w:bdr w:val="none" w:sz="0" w:space="0" w:color="auto" w:frame="1"/>
        </w:rPr>
        <w:footnoteReference w:id="5"/>
      </w:r>
      <w:r>
        <w:rPr>
          <w:rFonts w:asciiTheme="majorHAnsi" w:hAnsiTheme="majorHAnsi" w:cstheme="majorHAnsi"/>
        </w:rPr>
        <w:t xml:space="preserve">, a closely-watched case concerning the issue of whether Article </w:t>
      </w:r>
      <w:proofErr w:type="spellStart"/>
      <w:r>
        <w:rPr>
          <w:rFonts w:asciiTheme="majorHAnsi" w:hAnsiTheme="majorHAnsi" w:cstheme="majorHAnsi"/>
        </w:rPr>
        <w:t>III’s</w:t>
      </w:r>
      <w:proofErr w:type="spellEnd"/>
      <w:r>
        <w:rPr>
          <w:rFonts w:asciiTheme="majorHAnsi" w:hAnsiTheme="majorHAnsi" w:cstheme="majorHAnsi"/>
        </w:rPr>
        <w:t xml:space="preserve"> “injury-in-fact” requirement for standing to sue in federal court may be satisfied by alleging only a statutory violation without any associated real-world injury.  The Court held that a plaintiff must allege “concrete” harm, which it described as harm that is “real,” to have standing to sue, and that the existence of a private right of action under a federal statute does not automatically meet the “real” harm standard.</w:t>
      </w:r>
      <w:r>
        <w:rPr>
          <w:rStyle w:val="FootnoteReference"/>
          <w:rFonts w:asciiTheme="majorHAnsi" w:hAnsiTheme="majorHAnsi" w:cstheme="majorHAnsi"/>
          <w:sz w:val="20"/>
          <w:szCs w:val="20"/>
        </w:rPr>
        <w:footnoteReference w:id="6"/>
      </w:r>
      <w:r>
        <w:rPr>
          <w:rFonts w:asciiTheme="majorHAnsi" w:hAnsiTheme="majorHAnsi" w:cstheme="majorHAnsi"/>
          <w:sz w:val="20"/>
          <w:szCs w:val="20"/>
        </w:rPr>
        <w:t xml:space="preserve"> </w:t>
      </w:r>
    </w:p>
    <w:p>
      <w:pPr>
        <w:shd w:val="clear" w:color="auto" w:fill="FFFFFF"/>
        <w:spacing w:after="0" w:line="480" w:lineRule="auto"/>
        <w:ind w:firstLine="720"/>
        <w:textAlignment w:val="baseline"/>
        <w:rPr>
          <w:rFonts w:asciiTheme="majorHAnsi" w:hAnsiTheme="majorHAnsi" w:cstheme="majorHAnsi"/>
        </w:rPr>
      </w:pPr>
      <w:r>
        <w:rPr>
          <w:rFonts w:asciiTheme="majorHAnsi" w:hAnsiTheme="majorHAnsi" w:cstheme="majorHAnsi"/>
        </w:rPr>
        <w:t xml:space="preserve">In </w:t>
      </w:r>
      <w:proofErr w:type="spellStart"/>
      <w:r>
        <w:rPr>
          <w:rFonts w:asciiTheme="majorHAnsi" w:hAnsiTheme="majorHAnsi" w:cstheme="majorHAnsi"/>
          <w:i/>
        </w:rPr>
        <w:t>Spokeo</w:t>
      </w:r>
      <w:proofErr w:type="spellEnd"/>
      <w:r>
        <w:rPr>
          <w:rFonts w:asciiTheme="majorHAnsi" w:hAnsiTheme="majorHAnsi" w:cstheme="majorHAnsi"/>
        </w:rPr>
        <w:t xml:space="preserve">, the plaintiff alleged that </w:t>
      </w:r>
      <w:proofErr w:type="spellStart"/>
      <w:r>
        <w:rPr>
          <w:rFonts w:asciiTheme="majorHAnsi" w:hAnsiTheme="majorHAnsi" w:cstheme="majorHAnsi"/>
        </w:rPr>
        <w:t>Spokeo</w:t>
      </w:r>
      <w:proofErr w:type="spellEnd"/>
      <w:r>
        <w:rPr>
          <w:rFonts w:asciiTheme="majorHAnsi" w:hAnsiTheme="majorHAnsi" w:cstheme="majorHAnsi"/>
        </w:rPr>
        <w:t xml:space="preserve">, a web-based search engine, violated certain provisions of the </w:t>
      </w:r>
      <w:r>
        <w:rPr>
          <w:rFonts w:asciiTheme="majorHAnsi" w:hAnsiTheme="majorHAnsi" w:cstheme="majorHAnsi"/>
          <w:bdr w:val="none" w:sz="0" w:space="0" w:color="auto" w:frame="1"/>
        </w:rPr>
        <w:t>Fair Credit Reporting Act</w:t>
      </w:r>
      <w:r>
        <w:rPr>
          <w:rFonts w:asciiTheme="majorHAnsi" w:hAnsiTheme="majorHAnsi" w:cstheme="majorHAnsi"/>
        </w:rPr>
        <w:t xml:space="preserve"> concerning information about the plaintiff and sought statutory damages on behalf of himself and every other individual whose information appeared on </w:t>
      </w:r>
      <w:proofErr w:type="spellStart"/>
      <w:r>
        <w:rPr>
          <w:rFonts w:asciiTheme="majorHAnsi" w:hAnsiTheme="majorHAnsi" w:cstheme="majorHAnsi"/>
        </w:rPr>
        <w:t>Spokeo’s</w:t>
      </w:r>
      <w:proofErr w:type="spellEnd"/>
      <w:r>
        <w:rPr>
          <w:rFonts w:asciiTheme="majorHAnsi" w:hAnsiTheme="majorHAnsi" w:cstheme="majorHAnsi"/>
        </w:rPr>
        <w:t xml:space="preserve"> site.  The Ninth Circuit </w:t>
      </w:r>
      <w:r>
        <w:rPr>
          <w:rFonts w:asciiTheme="majorHAnsi" w:hAnsiTheme="majorHAnsi" w:cstheme="majorHAnsi"/>
          <w:bdr w:val="none" w:sz="0" w:space="0" w:color="auto" w:frame="1"/>
        </w:rPr>
        <w:t>held</w:t>
      </w:r>
      <w:r>
        <w:rPr>
          <w:rFonts w:asciiTheme="majorHAnsi" w:hAnsiTheme="majorHAnsi" w:cstheme="majorHAnsi"/>
        </w:rPr>
        <w:t xml:space="preserve"> that he had standing based on his allegation that </w:t>
      </w:r>
      <w:proofErr w:type="spellStart"/>
      <w:r>
        <w:rPr>
          <w:rFonts w:asciiTheme="majorHAnsi" w:hAnsiTheme="majorHAnsi" w:cstheme="majorHAnsi"/>
        </w:rPr>
        <w:t>Spokeo</w:t>
      </w:r>
      <w:proofErr w:type="spellEnd"/>
      <w:r>
        <w:rPr>
          <w:rFonts w:asciiTheme="majorHAnsi" w:hAnsiTheme="majorHAnsi" w:cstheme="majorHAnsi"/>
        </w:rPr>
        <w:t xml:space="preserve"> “violated </w:t>
      </w:r>
      <w:r>
        <w:rPr>
          <w:rFonts w:asciiTheme="majorHAnsi" w:hAnsiTheme="majorHAnsi" w:cstheme="majorHAnsi"/>
          <w:i/>
          <w:iCs/>
          <w:bdr w:val="none" w:sz="0" w:space="0" w:color="auto" w:frame="1"/>
        </w:rPr>
        <w:t>his</w:t>
      </w:r>
      <w:r>
        <w:rPr>
          <w:rFonts w:asciiTheme="majorHAnsi" w:hAnsiTheme="majorHAnsi" w:cstheme="majorHAnsi"/>
        </w:rPr>
        <w:t> statutory rights” and the fact that the plaintiff’s “personal interests in the handling of his credit information are </w:t>
      </w:r>
      <w:r>
        <w:rPr>
          <w:rFonts w:asciiTheme="majorHAnsi" w:hAnsiTheme="majorHAnsi" w:cstheme="majorHAnsi"/>
          <w:iCs/>
          <w:bdr w:val="none" w:sz="0" w:space="0" w:color="auto" w:frame="1"/>
        </w:rPr>
        <w:t>individualized</w:t>
      </w:r>
      <w:r>
        <w:rPr>
          <w:rFonts w:asciiTheme="majorHAnsi" w:hAnsiTheme="majorHAnsi" w:cstheme="majorHAnsi"/>
        </w:rPr>
        <w:t>.”</w:t>
      </w:r>
    </w:p>
    <w:p>
      <w:pPr>
        <w:shd w:val="clear" w:color="auto" w:fill="FFFFFF"/>
        <w:spacing w:after="0" w:line="480" w:lineRule="auto"/>
        <w:ind w:firstLine="720"/>
        <w:textAlignment w:val="baseline"/>
        <w:rPr>
          <w:rFonts w:asciiTheme="majorHAnsi" w:hAnsiTheme="majorHAnsi" w:cstheme="majorHAnsi"/>
        </w:rPr>
      </w:pPr>
      <w:r>
        <w:rPr>
          <w:rFonts w:asciiTheme="majorHAnsi" w:hAnsiTheme="majorHAnsi" w:cstheme="majorHAnsi"/>
        </w:rPr>
        <w:lastRenderedPageBreak/>
        <w:t>However, the Supreme Court held that “the injury-in-fact requirement requires a plaintiff to allege an injury that is both ‘concrete </w:t>
      </w:r>
      <w:r>
        <w:rPr>
          <w:rFonts w:asciiTheme="majorHAnsi" w:hAnsiTheme="majorHAnsi" w:cstheme="majorHAnsi"/>
          <w:i/>
          <w:iCs/>
          <w:bdr w:val="none" w:sz="0" w:space="0" w:color="auto" w:frame="1"/>
        </w:rPr>
        <w:t>and</w:t>
      </w:r>
      <w:r>
        <w:rPr>
          <w:rFonts w:asciiTheme="majorHAnsi" w:hAnsiTheme="majorHAnsi" w:cstheme="majorHAnsi"/>
        </w:rPr>
        <w:t xml:space="preserve"> particularized.’” The Ninth Circuit erred because it ignored the “concreteness” element, which requires that the plaintiff show that his or her alleged concrete harm “actually exist[s]” and that it is “real,” </w:t>
      </w:r>
      <w:r>
        <w:rPr>
          <w:rFonts w:asciiTheme="majorHAnsi" w:hAnsiTheme="majorHAnsi" w:cstheme="majorHAnsi"/>
          <w:i/>
        </w:rPr>
        <w:t>i.e.</w:t>
      </w:r>
      <w:r>
        <w:rPr>
          <w:rFonts w:asciiTheme="majorHAnsi" w:hAnsiTheme="majorHAnsi" w:cstheme="majorHAnsi"/>
        </w:rPr>
        <w:t>, not “abstract.”</w:t>
      </w:r>
      <w:r>
        <w:rPr>
          <w:rStyle w:val="FootnoteReference"/>
          <w:rFonts w:asciiTheme="majorHAnsi" w:hAnsiTheme="majorHAnsi" w:cstheme="majorHAnsi"/>
        </w:rPr>
        <w:footnoteReference w:id="7"/>
      </w:r>
    </w:p>
    <w:p>
      <w:pPr>
        <w:shd w:val="clear" w:color="auto" w:fill="FFFFFF"/>
        <w:spacing w:after="0" w:line="480" w:lineRule="auto"/>
        <w:ind w:firstLine="720"/>
        <w:textAlignment w:val="baseline"/>
        <w:rPr>
          <w:rFonts w:asciiTheme="majorHAnsi" w:hAnsiTheme="majorHAnsi" w:cstheme="majorHAnsi"/>
        </w:rPr>
      </w:pPr>
      <w:r>
        <w:rPr>
          <w:rFonts w:asciiTheme="majorHAnsi" w:hAnsiTheme="majorHAnsi" w:cstheme="majorHAnsi"/>
        </w:rPr>
        <w:t>As the Supreme Court explained: “[</w:t>
      </w:r>
      <w:proofErr w:type="spellStart"/>
      <w:r>
        <w:rPr>
          <w:rFonts w:asciiTheme="majorHAnsi" w:hAnsiTheme="majorHAnsi" w:cstheme="majorHAnsi"/>
        </w:rPr>
        <w:t>i</w:t>
      </w:r>
      <w:proofErr w:type="spellEnd"/>
      <w:r>
        <w:rPr>
          <w:rFonts w:asciiTheme="majorHAnsi" w:hAnsiTheme="majorHAnsi" w:cstheme="majorHAnsi"/>
        </w:rPr>
        <w:t>]n determining whether an intangible harm constitutes injury in fact, both history and the judgment of Congress play important roles.”  Therefore “it is instructive to consider whether an alleged intangible harm has a close relationship to a harm that has traditionally been regarded as providing a basis for a lawsuit in English or American courts.”  Although Congress’s judgment about whether a particular intangible harm satisfies Article III is “instructive and important,” it is not dispositive –   “Congress’ role in identifying and elevating intangible harms </w:t>
      </w:r>
      <w:r>
        <w:rPr>
          <w:rFonts w:asciiTheme="majorHAnsi" w:hAnsiTheme="majorHAnsi" w:cstheme="majorHAnsi"/>
          <w:bCs/>
          <w:bdr w:val="none" w:sz="0" w:space="0" w:color="auto" w:frame="1"/>
        </w:rPr>
        <w:t xml:space="preserve">does not mean that a plaintiff </w:t>
      </w:r>
      <w:r>
        <w:rPr>
          <w:rFonts w:asciiTheme="majorHAnsi" w:hAnsiTheme="majorHAnsi" w:cstheme="majorHAnsi"/>
          <w:bCs/>
          <w:i/>
          <w:bdr w:val="none" w:sz="0" w:space="0" w:color="auto" w:frame="1"/>
        </w:rPr>
        <w:t>automatically</w:t>
      </w:r>
      <w:r>
        <w:rPr>
          <w:rFonts w:asciiTheme="majorHAnsi" w:hAnsiTheme="majorHAnsi" w:cstheme="majorHAnsi"/>
          <w:bCs/>
          <w:bdr w:val="none" w:sz="0" w:space="0" w:color="auto" w:frame="1"/>
        </w:rPr>
        <w:t xml:space="preserve"> satisfies the injury-in-fact requirement whenever a statute grants a person a statutory right and purports to authorize that person to sue to vindicate that right.</w:t>
      </w:r>
      <w:r>
        <w:rPr>
          <w:rFonts w:asciiTheme="majorHAnsi" w:hAnsiTheme="majorHAnsi" w:cstheme="majorHAnsi"/>
        </w:rPr>
        <w:t xml:space="preserve">  Article III standing requires a concrete injury even in the context of a statutory violation,” and a “bare procedural violation, divorced from any concrete harm,” cannot “satisfy the injury-in-fact requirement of Article III.” </w:t>
      </w:r>
    </w:p>
    <w:p>
      <w:pPr>
        <w:shd w:val="clear" w:color="auto" w:fill="FFFFFF"/>
        <w:spacing w:after="0" w:line="480" w:lineRule="auto"/>
        <w:ind w:firstLine="720"/>
        <w:textAlignment w:val="baseline"/>
        <w:rPr>
          <w:rFonts w:asciiTheme="majorHAnsi" w:hAnsiTheme="majorHAnsi" w:cstheme="majorHAnsi"/>
        </w:rPr>
      </w:pPr>
      <w:r>
        <w:rPr>
          <w:rFonts w:asciiTheme="majorHAnsi" w:hAnsiTheme="majorHAnsi" w:cstheme="majorHAnsi"/>
        </w:rPr>
        <w:t>The Supreme Court also pointed out that the plaintiff need not have suffered concrete harm in order to sue: a “risk of real harm” can in some circumstances satisfy the concrete harm requirement.</w:t>
      </w:r>
      <w:r>
        <w:rPr>
          <w:rStyle w:val="FootnoteReference"/>
          <w:rFonts w:asciiTheme="majorHAnsi" w:hAnsiTheme="majorHAnsi" w:cstheme="majorHAnsi"/>
          <w:sz w:val="20"/>
          <w:szCs w:val="20"/>
        </w:rPr>
        <w:footnoteReference w:id="8"/>
      </w:r>
    </w:p>
    <w:p>
      <w:pPr>
        <w:shd w:val="clear" w:color="auto" w:fill="FFFFFF"/>
        <w:spacing w:after="0" w:line="480" w:lineRule="auto"/>
        <w:ind w:firstLine="720"/>
        <w:textAlignment w:val="baseline"/>
      </w:pPr>
      <w:r>
        <w:rPr>
          <w:rFonts w:asciiTheme="majorHAnsi" w:hAnsiTheme="majorHAnsi" w:cstheme="majorHAnsi"/>
        </w:rPr>
        <w:t xml:space="preserve">Although the Supreme Court’s decision in </w:t>
      </w:r>
      <w:proofErr w:type="spellStart"/>
      <w:r>
        <w:rPr>
          <w:rFonts w:asciiTheme="majorHAnsi" w:hAnsiTheme="majorHAnsi" w:cstheme="majorHAnsi"/>
          <w:i/>
        </w:rPr>
        <w:t>Spokeo</w:t>
      </w:r>
      <w:proofErr w:type="spellEnd"/>
      <w:r>
        <w:rPr>
          <w:rFonts w:asciiTheme="majorHAnsi" w:hAnsiTheme="majorHAnsi" w:cstheme="majorHAnsi"/>
        </w:rPr>
        <w:t xml:space="preserve"> eliminates the “no injury” class action and might give companies an additional tool to defend themselves, </w:t>
      </w:r>
      <w:proofErr w:type="spellStart"/>
      <w:r>
        <w:rPr>
          <w:rFonts w:asciiTheme="majorHAnsi" w:hAnsiTheme="majorHAnsi" w:cstheme="majorHAnsi"/>
          <w:i/>
        </w:rPr>
        <w:t>Spokeo</w:t>
      </w:r>
      <w:proofErr w:type="spellEnd"/>
      <w:r>
        <w:rPr>
          <w:rFonts w:asciiTheme="majorHAnsi" w:hAnsiTheme="majorHAnsi" w:cstheme="majorHAnsi"/>
          <w:i/>
        </w:rPr>
        <w:t xml:space="preserve"> </w:t>
      </w:r>
      <w:r>
        <w:rPr>
          <w:rFonts w:asciiTheme="majorHAnsi" w:hAnsiTheme="majorHAnsi" w:cstheme="majorHAnsi"/>
        </w:rPr>
        <w:t xml:space="preserve">has certainly not </w:t>
      </w:r>
      <w:r>
        <w:rPr>
          <w:rFonts w:asciiTheme="majorHAnsi" w:hAnsiTheme="majorHAnsi" w:cstheme="majorHAnsi"/>
        </w:rPr>
        <w:lastRenderedPageBreak/>
        <w:t xml:space="preserve">shielded defendants from </w:t>
      </w:r>
      <w:proofErr w:type="spellStart"/>
      <w:r>
        <w:rPr>
          <w:rFonts w:asciiTheme="majorHAnsi" w:hAnsiTheme="majorHAnsi" w:cstheme="majorHAnsi"/>
        </w:rPr>
        <w:t>TCPA</w:t>
      </w:r>
      <w:proofErr w:type="spellEnd"/>
      <w:r>
        <w:rPr>
          <w:rFonts w:asciiTheme="majorHAnsi" w:hAnsiTheme="majorHAnsi" w:cstheme="majorHAnsi"/>
        </w:rPr>
        <w:t xml:space="preserve"> liability based upon a plaintiff’s lack of Article III standing.  In fact, district courts applying </w:t>
      </w:r>
      <w:proofErr w:type="spellStart"/>
      <w:r>
        <w:rPr>
          <w:rFonts w:asciiTheme="majorHAnsi" w:hAnsiTheme="majorHAnsi" w:cstheme="majorHAnsi"/>
          <w:i/>
        </w:rPr>
        <w:t>Spokeo</w:t>
      </w:r>
      <w:proofErr w:type="spellEnd"/>
      <w:r>
        <w:rPr>
          <w:rFonts w:asciiTheme="majorHAnsi" w:hAnsiTheme="majorHAnsi" w:cstheme="majorHAnsi"/>
        </w:rPr>
        <w:t xml:space="preserve"> since its issuance have found that </w:t>
      </w:r>
      <w:proofErr w:type="spellStart"/>
      <w:r>
        <w:rPr>
          <w:rFonts w:asciiTheme="majorHAnsi" w:hAnsiTheme="majorHAnsi" w:cstheme="majorHAnsi"/>
        </w:rPr>
        <w:t>TCPA</w:t>
      </w:r>
      <w:proofErr w:type="spellEnd"/>
      <w:r>
        <w:rPr>
          <w:rFonts w:asciiTheme="majorHAnsi" w:hAnsiTheme="majorHAnsi" w:cstheme="majorHAnsi"/>
        </w:rPr>
        <w:t xml:space="preserve"> plaintiffs can satisfy Article III standing.  For example, in </w:t>
      </w:r>
      <w:r>
        <w:rPr>
          <w:i/>
        </w:rPr>
        <w:t>Aranda v. Caribbean Cruise Line, Inc.</w:t>
      </w:r>
      <w:r>
        <w:t xml:space="preserve">, 2016 WL 4439935 (N.D. Ill. Aug. 23, 2016), the district court held that the </w:t>
      </w:r>
      <w:proofErr w:type="spellStart"/>
      <w:r>
        <w:t>TCPA</w:t>
      </w:r>
      <w:proofErr w:type="spellEnd"/>
      <w:r>
        <w:t xml:space="preserve"> establishes substantive, not procedural, rights to be free from telemarketing calls that consumers did not consent to receive, and thus consumers suffered concrete injury required to establish standing as result of </w:t>
      </w:r>
      <w:proofErr w:type="spellStart"/>
      <w:r>
        <w:t>TCPA</w:t>
      </w:r>
      <w:proofErr w:type="spellEnd"/>
      <w:r>
        <w:t xml:space="preserve"> violations by a cruise line – even though consumers sought only statutory damages.  The court found that Congress enacted the </w:t>
      </w:r>
      <w:proofErr w:type="spellStart"/>
      <w:r>
        <w:t>TCPA</w:t>
      </w:r>
      <w:proofErr w:type="spellEnd"/>
      <w:r>
        <w:t xml:space="preserve"> to protect consumers from annoyance, irritation, and unwanted nuisance of telemarketing phone call and granted protection to consumers’ identifiable concrete interests in preserving their rights to privacy and seclusion.  </w:t>
      </w:r>
      <w:r>
        <w:rPr>
          <w:i/>
        </w:rPr>
        <w:t>See also Ung v. Universal Acceptance Corp.</w:t>
      </w:r>
      <w:r>
        <w:t xml:space="preserve">, 2016 WL 4132244, at *2 (D. Minn. Aug. 3, 2016) (“Cases . . . have repeatedly recognized that the receipt of unwanted phone calls constitutes a concrete injury sufficient to create standing under the </w:t>
      </w:r>
      <w:proofErr w:type="spellStart"/>
      <w:r>
        <w:t>TCPA</w:t>
      </w:r>
      <w:proofErr w:type="spellEnd"/>
      <w:r>
        <w:t xml:space="preserve">”); </w:t>
      </w:r>
      <w:r>
        <w:rPr>
          <w:i/>
        </w:rPr>
        <w:t>Caudill v. Wells Fargo Home Mtg., Inc.</w:t>
      </w:r>
      <w:r>
        <w:t xml:space="preserve">, 2016 WL 3820195, at *2 (E.D. Ky. July 11, 2016) (noting that calls caused harms “such as the invasion of privacy [that] have traditionally been regarded as providing a basis for a lawsuit in the United States”); </w:t>
      </w:r>
      <w:r>
        <w:rPr>
          <w:i/>
        </w:rPr>
        <w:t xml:space="preserve">Rogers v. Capital One Bank (USA), </w:t>
      </w:r>
      <w:proofErr w:type="spellStart"/>
      <w:r>
        <w:rPr>
          <w:i/>
        </w:rPr>
        <w:t>N.A</w:t>
      </w:r>
      <w:proofErr w:type="spellEnd"/>
      <w:r>
        <w:rPr>
          <w:i/>
        </w:rPr>
        <w:t>.</w:t>
      </w:r>
      <w:r>
        <w:t>, 2016 WL 3162592, at *2 (</w:t>
      </w:r>
      <w:proofErr w:type="spellStart"/>
      <w:r>
        <w:t>N.D.Ga</w:t>
      </w:r>
      <w:proofErr w:type="spellEnd"/>
      <w:r>
        <w:t xml:space="preserve">. June 7, 2016) (rejecting argument plaintiffs lacked standing under </w:t>
      </w:r>
      <w:proofErr w:type="spellStart"/>
      <w:r>
        <w:t>TCPA</w:t>
      </w:r>
      <w:proofErr w:type="spellEnd"/>
      <w:r>
        <w:t xml:space="preserve"> where they alleged “the Defendant made unwanted phone calls to their cell numbers”); </w:t>
      </w:r>
      <w:proofErr w:type="spellStart"/>
      <w:r>
        <w:rPr>
          <w:i/>
        </w:rPr>
        <w:t>Cour</w:t>
      </w:r>
      <w:proofErr w:type="spellEnd"/>
      <w:r>
        <w:rPr>
          <w:i/>
        </w:rPr>
        <w:t xml:space="preserve"> v. </w:t>
      </w:r>
      <w:proofErr w:type="spellStart"/>
      <w:r>
        <w:rPr>
          <w:i/>
        </w:rPr>
        <w:t>Life360</w:t>
      </w:r>
      <w:proofErr w:type="spellEnd"/>
      <w:r>
        <w:rPr>
          <w:i/>
        </w:rPr>
        <w:t>, Inc.</w:t>
      </w:r>
      <w:r>
        <w:t xml:space="preserve">, 2016 WL 4039279, at *2 (N.D. Cal. July 28, 2016) (receipt of single unauthorized text message sufficient to create standing under </w:t>
      </w:r>
      <w:proofErr w:type="spellStart"/>
      <w:r>
        <w:t>TCPA</w:t>
      </w:r>
      <w:proofErr w:type="spellEnd"/>
      <w:r>
        <w:t xml:space="preserve">). </w:t>
      </w:r>
    </w:p>
    <w:p>
      <w:pPr>
        <w:spacing w:after="0" w:line="480" w:lineRule="auto"/>
        <w:rPr>
          <w:rFonts w:asciiTheme="majorHAnsi" w:hAnsiTheme="majorHAnsi" w:cstheme="majorHAnsi"/>
        </w:rPr>
      </w:pPr>
      <w:r>
        <w:rPr>
          <w:rFonts w:asciiTheme="majorHAnsi" w:hAnsiTheme="majorHAnsi" w:cstheme="majorHAnsi"/>
          <w:b/>
          <w:i/>
        </w:rPr>
        <w:tab/>
      </w:r>
      <w:r>
        <w:rPr>
          <w:rFonts w:asciiTheme="majorHAnsi" w:hAnsiTheme="majorHAnsi" w:cstheme="majorHAnsi"/>
          <w:b/>
        </w:rPr>
        <w:t>B.</w:t>
      </w:r>
      <w:r>
        <w:rPr>
          <w:rFonts w:asciiTheme="majorHAnsi" w:hAnsiTheme="majorHAnsi" w:cstheme="majorHAnsi"/>
          <w:b/>
        </w:rPr>
        <w:tab/>
      </w:r>
      <w:r>
        <w:rPr>
          <w:rFonts w:asciiTheme="majorHAnsi" w:hAnsiTheme="majorHAnsi" w:cstheme="majorHAnsi"/>
          <w:b/>
          <w:u w:val="single"/>
        </w:rPr>
        <w:t>Class Claims</w:t>
      </w:r>
    </w:p>
    <w:p>
      <w:pPr>
        <w:spacing w:after="0" w:line="480" w:lineRule="auto"/>
        <w:ind w:firstLine="720"/>
        <w:rPr>
          <w:rFonts w:asciiTheme="majorHAnsi" w:hAnsiTheme="majorHAnsi" w:cstheme="majorHAnsi"/>
        </w:rPr>
      </w:pPr>
      <w:proofErr w:type="spellStart"/>
      <w:r>
        <w:rPr>
          <w:rFonts w:asciiTheme="majorHAnsi" w:hAnsiTheme="majorHAnsi" w:cstheme="majorHAnsi"/>
        </w:rPr>
        <w:t>TCPA</w:t>
      </w:r>
      <w:proofErr w:type="spellEnd"/>
      <w:r>
        <w:rPr>
          <w:rFonts w:asciiTheme="majorHAnsi" w:hAnsiTheme="majorHAnsi" w:cstheme="majorHAnsi"/>
        </w:rPr>
        <w:t xml:space="preserve"> claims brought on behalf of a purported class as opposed to just an individual plaintiff open up a whole host of issues under Fed. </w:t>
      </w:r>
      <w:proofErr w:type="gramStart"/>
      <w:r>
        <w:rPr>
          <w:rFonts w:asciiTheme="majorHAnsi" w:hAnsiTheme="majorHAnsi" w:cstheme="majorHAnsi"/>
        </w:rPr>
        <w:t xml:space="preserve">R. Civ. P. 23 in addition to the threat of </w:t>
      </w:r>
      <w:r>
        <w:rPr>
          <w:rFonts w:asciiTheme="majorHAnsi" w:hAnsiTheme="majorHAnsi" w:cstheme="majorHAnsi"/>
        </w:rPr>
        <w:lastRenderedPageBreak/>
        <w:t>exponentially greater liability.</w:t>
      </w:r>
      <w:proofErr w:type="gramEnd"/>
      <w:r>
        <w:rPr>
          <w:rFonts w:asciiTheme="majorHAnsi" w:hAnsiTheme="majorHAnsi" w:cstheme="majorHAnsi"/>
        </w:rPr>
        <w:t xml:space="preserve">  One possible tactic to consider is attempting to moot a class plaintiff’s claim through use of an offer of judgment or actual tender of payment of the full amount of the class plaintiffs’ claim.  In light of the Supreme Court’s recent decision in </w:t>
      </w:r>
      <w:r>
        <w:rPr>
          <w:rFonts w:asciiTheme="majorHAnsi" w:hAnsiTheme="majorHAnsi" w:cstheme="majorHAnsi"/>
          <w:i/>
        </w:rPr>
        <w:t>Campbell-</w:t>
      </w:r>
      <w:proofErr w:type="gramStart"/>
      <w:r>
        <w:rPr>
          <w:rFonts w:asciiTheme="majorHAnsi" w:hAnsiTheme="majorHAnsi" w:cstheme="majorHAnsi"/>
          <w:i/>
        </w:rPr>
        <w:t>Ewald</w:t>
      </w:r>
      <w:r>
        <w:rPr>
          <w:rFonts w:asciiTheme="majorHAnsi" w:hAnsiTheme="majorHAnsi" w:cstheme="majorHAnsi"/>
        </w:rPr>
        <w:t xml:space="preserve">  that</w:t>
      </w:r>
      <w:proofErr w:type="gramEnd"/>
      <w:r>
        <w:rPr>
          <w:rFonts w:asciiTheme="majorHAnsi" w:hAnsiTheme="majorHAnsi" w:cstheme="majorHAnsi"/>
        </w:rPr>
        <w:t xml:space="preserve"> unaccepted offers of judgment cannot moot potential class claims,</w:t>
      </w:r>
      <w:r>
        <w:rPr>
          <w:rStyle w:val="FootnoteReference"/>
          <w:rFonts w:asciiTheme="majorHAnsi" w:hAnsiTheme="majorHAnsi" w:cstheme="majorHAnsi"/>
        </w:rPr>
        <w:footnoteReference w:id="9"/>
      </w:r>
      <w:r>
        <w:rPr>
          <w:rFonts w:asciiTheme="majorHAnsi" w:hAnsiTheme="majorHAnsi" w:cstheme="majorHAnsi"/>
        </w:rPr>
        <w:t xml:space="preserve"> attempts to moot </w:t>
      </w:r>
      <w:proofErr w:type="spellStart"/>
      <w:r>
        <w:rPr>
          <w:rFonts w:asciiTheme="majorHAnsi" w:hAnsiTheme="majorHAnsi" w:cstheme="majorHAnsi"/>
        </w:rPr>
        <w:t>TCPA</w:t>
      </w:r>
      <w:proofErr w:type="spellEnd"/>
      <w:r>
        <w:rPr>
          <w:rFonts w:asciiTheme="majorHAnsi" w:hAnsiTheme="majorHAnsi" w:cstheme="majorHAnsi"/>
        </w:rPr>
        <w:t xml:space="preserve"> class actions by “picking off” the named plaintiff are at this juncture unlikely to succeed.  </w:t>
      </w:r>
      <w:r>
        <w:rPr>
          <w:rFonts w:asciiTheme="majorHAnsi" w:hAnsiTheme="majorHAnsi" w:cstheme="majorHAnsi"/>
          <w:i/>
        </w:rPr>
        <w:t>See, e.g., Kilpatrick v. Caribbean Cruise Line, Inc.</w:t>
      </w:r>
      <w:r>
        <w:rPr>
          <w:rFonts w:asciiTheme="majorHAnsi" w:hAnsiTheme="majorHAnsi" w:cstheme="majorHAnsi"/>
        </w:rPr>
        <w:t>, No. 14-cv-61572 (S.D. Fla. Aug. 1, 2016) (</w:t>
      </w:r>
      <w:proofErr w:type="spellStart"/>
      <w:r>
        <w:rPr>
          <w:rFonts w:asciiTheme="majorHAnsi" w:hAnsiTheme="majorHAnsi" w:cstheme="majorHAnsi"/>
        </w:rPr>
        <w:t>Dkt</w:t>
      </w:r>
      <w:proofErr w:type="spellEnd"/>
      <w:r>
        <w:rPr>
          <w:rFonts w:asciiTheme="majorHAnsi" w:hAnsiTheme="majorHAnsi" w:cstheme="majorHAnsi"/>
        </w:rPr>
        <w:t xml:space="preserve">. Entry No. 157) (denying defendants’ motion to deposit funds into court to satisfy named plaintiffs’ </w:t>
      </w:r>
      <w:proofErr w:type="spellStart"/>
      <w:r>
        <w:rPr>
          <w:rFonts w:asciiTheme="majorHAnsi" w:hAnsiTheme="majorHAnsi" w:cstheme="majorHAnsi"/>
        </w:rPr>
        <w:t>TCPA</w:t>
      </w:r>
      <w:proofErr w:type="spellEnd"/>
      <w:r>
        <w:rPr>
          <w:rFonts w:asciiTheme="majorHAnsi" w:hAnsiTheme="majorHAnsi" w:cstheme="majorHAnsi"/>
        </w:rPr>
        <w:t xml:space="preserve"> claims and moot class action). </w:t>
      </w:r>
    </w:p>
    <w:p>
      <w:pPr>
        <w:spacing w:after="0" w:line="480" w:lineRule="auto"/>
        <w:ind w:firstLine="720"/>
        <w:rPr>
          <w:rFonts w:asciiTheme="majorHAnsi" w:hAnsiTheme="majorHAnsi" w:cstheme="majorHAnsi"/>
        </w:rPr>
      </w:pPr>
      <w:r>
        <w:rPr>
          <w:rFonts w:asciiTheme="majorHAnsi" w:hAnsiTheme="majorHAnsi" w:cstheme="majorHAnsi"/>
        </w:rPr>
        <w:t xml:space="preserve">A company facing a </w:t>
      </w:r>
      <w:proofErr w:type="spellStart"/>
      <w:r>
        <w:rPr>
          <w:rFonts w:asciiTheme="majorHAnsi" w:hAnsiTheme="majorHAnsi" w:cstheme="majorHAnsi"/>
        </w:rPr>
        <w:t>TCPA</w:t>
      </w:r>
      <w:proofErr w:type="spellEnd"/>
      <w:r>
        <w:rPr>
          <w:rFonts w:asciiTheme="majorHAnsi" w:hAnsiTheme="majorHAnsi" w:cstheme="majorHAnsi"/>
        </w:rPr>
        <w:t xml:space="preserve"> class action might have more success at the class certification stage where plaintiffs are required to satisfy the requirements of Rule 23.  Critical defenses to explore are whether individual issues of class members such as consent (or revocation) predominate over common issues, whether the identities of members of the purported class are readily ascertainable so as to make a class action administratively feasible, and whether the class method is superior to the bringing of individual claims, especially since the </w:t>
      </w:r>
      <w:proofErr w:type="spellStart"/>
      <w:r>
        <w:rPr>
          <w:rFonts w:asciiTheme="majorHAnsi" w:hAnsiTheme="majorHAnsi" w:cstheme="majorHAnsi"/>
        </w:rPr>
        <w:t>TCPA’s</w:t>
      </w:r>
      <w:proofErr w:type="spellEnd"/>
      <w:r>
        <w:rPr>
          <w:rFonts w:asciiTheme="majorHAnsi" w:hAnsiTheme="majorHAnsi" w:cstheme="majorHAnsi"/>
        </w:rPr>
        <w:t xml:space="preserve"> uncapped statutory damages (with potential for trebling) may provide individual plaintiffs with adequate incentive to pursue their own claims.</w:t>
      </w:r>
    </w:p>
    <w:p>
      <w:pPr>
        <w:spacing w:after="0" w:line="480" w:lineRule="auto"/>
        <w:rPr>
          <w:rFonts w:asciiTheme="majorHAnsi" w:hAnsiTheme="majorHAnsi" w:cstheme="majorHAnsi"/>
          <w:b/>
        </w:rPr>
      </w:pPr>
      <w:r>
        <w:rPr>
          <w:rFonts w:asciiTheme="majorHAnsi" w:hAnsiTheme="majorHAnsi" w:cstheme="majorHAnsi"/>
          <w:b/>
          <w:i/>
        </w:rPr>
        <w:tab/>
      </w:r>
      <w:r>
        <w:rPr>
          <w:rFonts w:asciiTheme="majorHAnsi" w:hAnsiTheme="majorHAnsi" w:cstheme="majorHAnsi"/>
          <w:b/>
        </w:rPr>
        <w:t>C</w:t>
      </w:r>
      <w:r>
        <w:rPr>
          <w:rFonts w:asciiTheme="majorHAnsi" w:hAnsiTheme="majorHAnsi" w:cstheme="majorHAnsi"/>
          <w:b/>
        </w:rPr>
        <w:tab/>
      </w:r>
      <w:r>
        <w:rPr>
          <w:rFonts w:asciiTheme="majorHAnsi" w:hAnsiTheme="majorHAnsi" w:cstheme="majorHAnsi"/>
          <w:b/>
          <w:u w:val="single"/>
        </w:rPr>
        <w:t>Factual Investigation</w:t>
      </w:r>
    </w:p>
    <w:p>
      <w:pPr>
        <w:spacing w:after="0" w:line="480" w:lineRule="auto"/>
        <w:rPr>
          <w:rFonts w:asciiTheme="majorHAnsi" w:hAnsiTheme="majorHAnsi" w:cstheme="majorHAnsi"/>
        </w:rPr>
      </w:pPr>
      <w:r>
        <w:rPr>
          <w:rFonts w:asciiTheme="majorHAnsi" w:hAnsiTheme="majorHAnsi" w:cstheme="majorHAnsi"/>
        </w:rPr>
        <w:tab/>
        <w:t xml:space="preserve">Regardless of whether a company is faced with an individual </w:t>
      </w:r>
      <w:proofErr w:type="spellStart"/>
      <w:r>
        <w:rPr>
          <w:rFonts w:asciiTheme="majorHAnsi" w:hAnsiTheme="majorHAnsi" w:cstheme="majorHAnsi"/>
        </w:rPr>
        <w:t>TCPA</w:t>
      </w:r>
      <w:proofErr w:type="spellEnd"/>
      <w:r>
        <w:rPr>
          <w:rFonts w:asciiTheme="majorHAnsi" w:hAnsiTheme="majorHAnsi" w:cstheme="majorHAnsi"/>
        </w:rPr>
        <w:t xml:space="preserve"> claim or a purported class action, an adequate factual investigation into the alleged calls can make all the difference in mounting a successful defense.  As always, it is critical to quantify the scope of potential liability as soon as possible – gather and preserve all records related to the number and nature of calls </w:t>
      </w:r>
      <w:r>
        <w:rPr>
          <w:rFonts w:asciiTheme="majorHAnsi" w:hAnsiTheme="majorHAnsi" w:cstheme="majorHAnsi"/>
        </w:rPr>
        <w:lastRenderedPageBreak/>
        <w:t>made to the plaintiff.  Early assessment helps in making an informed judgment about whether the case is worth fighting or whether a quick settlement should be pursued.</w:t>
      </w:r>
    </w:p>
    <w:p>
      <w:pPr>
        <w:spacing w:after="0" w:line="480" w:lineRule="auto"/>
        <w:rPr>
          <w:rFonts w:asciiTheme="majorHAnsi" w:hAnsiTheme="majorHAnsi" w:cstheme="majorHAnsi"/>
        </w:rPr>
      </w:pPr>
      <w:r>
        <w:rPr>
          <w:rFonts w:asciiTheme="majorHAnsi" w:hAnsiTheme="majorHAnsi" w:cstheme="majorHAnsi"/>
        </w:rPr>
        <w:tab/>
        <w:t xml:space="preserve">Equally important is </w:t>
      </w:r>
      <w:proofErr w:type="gramStart"/>
      <w:r>
        <w:rPr>
          <w:rFonts w:asciiTheme="majorHAnsi" w:hAnsiTheme="majorHAnsi" w:cstheme="majorHAnsi"/>
        </w:rPr>
        <w:t>understanding</w:t>
      </w:r>
      <w:proofErr w:type="gramEnd"/>
      <w:r>
        <w:rPr>
          <w:rFonts w:asciiTheme="majorHAnsi" w:hAnsiTheme="majorHAnsi" w:cstheme="majorHAnsi"/>
        </w:rPr>
        <w:t xml:space="preserve"> how the calls were made, </w:t>
      </w:r>
      <w:r>
        <w:rPr>
          <w:rFonts w:asciiTheme="majorHAnsi" w:hAnsiTheme="majorHAnsi" w:cstheme="majorHAnsi"/>
          <w:i/>
        </w:rPr>
        <w:t>i.e.</w:t>
      </w:r>
      <w:r>
        <w:rPr>
          <w:rFonts w:asciiTheme="majorHAnsi" w:hAnsiTheme="majorHAnsi" w:cstheme="majorHAnsi"/>
        </w:rPr>
        <w:t xml:space="preserve">, whether an </w:t>
      </w:r>
      <w:proofErr w:type="spellStart"/>
      <w:r>
        <w:rPr>
          <w:rFonts w:asciiTheme="majorHAnsi" w:hAnsiTheme="majorHAnsi" w:cstheme="majorHAnsi"/>
        </w:rPr>
        <w:t>ATDS</w:t>
      </w:r>
      <w:proofErr w:type="spellEnd"/>
      <w:r>
        <w:rPr>
          <w:rFonts w:asciiTheme="majorHAnsi" w:hAnsiTheme="majorHAnsi" w:cstheme="majorHAnsi"/>
        </w:rPr>
        <w:t xml:space="preserve"> was used.  Given both the fluid and evolving definition of an </w:t>
      </w:r>
      <w:proofErr w:type="spellStart"/>
      <w:r>
        <w:rPr>
          <w:rFonts w:asciiTheme="majorHAnsi" w:hAnsiTheme="majorHAnsi" w:cstheme="majorHAnsi"/>
        </w:rPr>
        <w:t>ATDS</w:t>
      </w:r>
      <w:proofErr w:type="spellEnd"/>
      <w:r>
        <w:rPr>
          <w:rFonts w:asciiTheme="majorHAnsi" w:hAnsiTheme="majorHAnsi" w:cstheme="majorHAnsi"/>
        </w:rPr>
        <w:t xml:space="preserve"> by the FCC and courts, as well as the often highly technical nature of the systems and software used to place calls or send texts and faxes, involving a knowledgeable expert early may allow a business to knock out a claim – even at the motion-to-dismiss stage.</w:t>
      </w:r>
    </w:p>
    <w:p>
      <w:pPr>
        <w:spacing w:after="0" w:line="480" w:lineRule="auto"/>
        <w:rPr>
          <w:rFonts w:asciiTheme="majorHAnsi" w:hAnsiTheme="majorHAnsi" w:cstheme="majorHAnsi"/>
        </w:rPr>
      </w:pPr>
      <w:r>
        <w:rPr>
          <w:rFonts w:asciiTheme="majorHAnsi" w:hAnsiTheme="majorHAnsi" w:cstheme="majorHAnsi"/>
        </w:rPr>
        <w:tab/>
        <w:t xml:space="preserve">Likewise, a </w:t>
      </w:r>
      <w:proofErr w:type="spellStart"/>
      <w:r>
        <w:rPr>
          <w:rFonts w:asciiTheme="majorHAnsi" w:hAnsiTheme="majorHAnsi" w:cstheme="majorHAnsi"/>
        </w:rPr>
        <w:t>TCPA</w:t>
      </w:r>
      <w:proofErr w:type="spellEnd"/>
      <w:r>
        <w:rPr>
          <w:rFonts w:asciiTheme="majorHAnsi" w:hAnsiTheme="majorHAnsi" w:cstheme="majorHAnsi"/>
        </w:rPr>
        <w:t xml:space="preserve"> defendant must explore all avenues by which a plaintiff may have given (or revoked) his or her express consent.  The burden rests with the caller to prove through its business records the called party’s consent to receive calls.  Gather and review all paper and electronic contracts, forms, marketing materials or other documents by which a plaintiff may have provided a cell phone number or otherwise evidenced consent to receive calls, texts or faxes.  On the flip side, it is important to understand whether the plaintiff at any time attempted to revoke a previously-given consent.  Under the current FCC view, consent may be revoked “in any reasonable manner,” whether orally or in writing, so long as the called party clearly expresses his or her desire to no longer receive calls. Furthermore, a caller may not limit or control a consumer’s right to consent by designating an exclusive means to revoke. </w:t>
      </w:r>
    </w:p>
    <w:p>
      <w:pPr>
        <w:spacing w:after="0" w:line="480" w:lineRule="auto"/>
        <w:rPr>
          <w:rFonts w:asciiTheme="majorHAnsi" w:hAnsiTheme="majorHAnsi" w:cstheme="majorHAnsi"/>
        </w:rPr>
      </w:pPr>
      <w:r>
        <w:rPr>
          <w:rFonts w:asciiTheme="majorHAnsi" w:hAnsiTheme="majorHAnsi" w:cstheme="majorHAnsi"/>
        </w:rPr>
        <w:tab/>
        <w:t xml:space="preserve">Last but certainly not least, be sure to thoroughly investigate the actual plaintiff.  The expansive scope and uncapped liability of the </w:t>
      </w:r>
      <w:proofErr w:type="spellStart"/>
      <w:r>
        <w:rPr>
          <w:rFonts w:asciiTheme="majorHAnsi" w:hAnsiTheme="majorHAnsi" w:cstheme="majorHAnsi"/>
        </w:rPr>
        <w:t>TCPA</w:t>
      </w:r>
      <w:proofErr w:type="spellEnd"/>
      <w:r>
        <w:rPr>
          <w:rFonts w:asciiTheme="majorHAnsi" w:hAnsiTheme="majorHAnsi" w:cstheme="majorHAnsi"/>
        </w:rPr>
        <w:t xml:space="preserve"> make it a focus of serial filers and professional plaintiffs, and courts may finally be starting to act to blunt this burgeoning cottage industry.  </w:t>
      </w:r>
      <w:r>
        <w:rPr>
          <w:rFonts w:asciiTheme="majorHAnsi" w:hAnsiTheme="majorHAnsi" w:cstheme="majorHAnsi"/>
          <w:i/>
        </w:rPr>
        <w:t xml:space="preserve">See, e.g., Stoops v. Wells Fargo Bank, </w:t>
      </w:r>
      <w:proofErr w:type="spellStart"/>
      <w:r>
        <w:rPr>
          <w:rFonts w:asciiTheme="majorHAnsi" w:hAnsiTheme="majorHAnsi" w:cstheme="majorHAnsi"/>
          <w:i/>
        </w:rPr>
        <w:t>N.A</w:t>
      </w:r>
      <w:proofErr w:type="spellEnd"/>
      <w:r>
        <w:rPr>
          <w:rFonts w:asciiTheme="majorHAnsi" w:hAnsiTheme="majorHAnsi" w:cstheme="majorHAnsi"/>
          <w:i/>
        </w:rPr>
        <w:t>.</w:t>
      </w:r>
      <w:r>
        <w:rPr>
          <w:rFonts w:asciiTheme="majorHAnsi" w:hAnsiTheme="majorHAnsi" w:cstheme="majorHAnsi"/>
        </w:rPr>
        <w:t>, No. 3:15-cv-83, 2016 U.S. Dist. LEXIS 82380 (</w:t>
      </w:r>
      <w:proofErr w:type="spellStart"/>
      <w:r>
        <w:rPr>
          <w:rFonts w:asciiTheme="majorHAnsi" w:hAnsiTheme="majorHAnsi" w:cstheme="majorHAnsi"/>
        </w:rPr>
        <w:t>W.D</w:t>
      </w:r>
      <w:proofErr w:type="spellEnd"/>
      <w:r>
        <w:rPr>
          <w:rFonts w:asciiTheme="majorHAnsi" w:hAnsiTheme="majorHAnsi" w:cstheme="majorHAnsi"/>
        </w:rPr>
        <w:t xml:space="preserve">. Pa. June 24, 2016) (finding plaintiff who admitted buying multiple prepaid cell phones to receive autodialed calls from creditors for purposes of bringing </w:t>
      </w:r>
      <w:proofErr w:type="spellStart"/>
      <w:r>
        <w:rPr>
          <w:rFonts w:asciiTheme="majorHAnsi" w:hAnsiTheme="majorHAnsi" w:cstheme="majorHAnsi"/>
        </w:rPr>
        <w:t>TCPA</w:t>
      </w:r>
      <w:proofErr w:type="spellEnd"/>
      <w:r>
        <w:rPr>
          <w:rFonts w:asciiTheme="majorHAnsi" w:hAnsiTheme="majorHAnsi" w:cstheme="majorHAnsi"/>
        </w:rPr>
        <w:t xml:space="preserve"> claims lacked </w:t>
      </w:r>
      <w:r>
        <w:rPr>
          <w:rFonts w:asciiTheme="majorHAnsi" w:hAnsiTheme="majorHAnsi" w:cstheme="majorHAnsi"/>
        </w:rPr>
        <w:lastRenderedPageBreak/>
        <w:t xml:space="preserve">prudential standing since her claims did not fall within personal privacy zone of interests </w:t>
      </w:r>
      <w:proofErr w:type="spellStart"/>
      <w:r>
        <w:rPr>
          <w:rFonts w:asciiTheme="majorHAnsi" w:hAnsiTheme="majorHAnsi" w:cstheme="majorHAnsi"/>
        </w:rPr>
        <w:t>TCPA</w:t>
      </w:r>
      <w:proofErr w:type="spellEnd"/>
      <w:r>
        <w:rPr>
          <w:rFonts w:asciiTheme="majorHAnsi" w:hAnsiTheme="majorHAnsi" w:cstheme="majorHAnsi"/>
        </w:rPr>
        <w:t xml:space="preserve"> is designed to protect).</w:t>
      </w:r>
    </w:p>
    <w:p>
      <w:pPr>
        <w:spacing w:after="0" w:line="480" w:lineRule="auto"/>
        <w:rPr>
          <w:rFonts w:asciiTheme="majorHAnsi" w:hAnsiTheme="majorHAnsi" w:cstheme="majorHAnsi"/>
          <w:b/>
        </w:rPr>
      </w:pPr>
      <w:r>
        <w:rPr>
          <w:rFonts w:asciiTheme="majorHAnsi" w:hAnsiTheme="majorHAnsi" w:cstheme="majorHAnsi"/>
          <w:b/>
        </w:rPr>
        <w:tab/>
        <w:t>D.</w:t>
      </w:r>
      <w:r>
        <w:rPr>
          <w:rFonts w:asciiTheme="majorHAnsi" w:hAnsiTheme="majorHAnsi" w:cstheme="majorHAnsi"/>
          <w:b/>
        </w:rPr>
        <w:tab/>
      </w:r>
      <w:proofErr w:type="spellStart"/>
      <w:r>
        <w:rPr>
          <w:rFonts w:asciiTheme="majorHAnsi" w:hAnsiTheme="majorHAnsi" w:cstheme="majorHAnsi"/>
          <w:b/>
          <w:u w:val="single"/>
        </w:rPr>
        <w:t>TCPA</w:t>
      </w:r>
      <w:proofErr w:type="spellEnd"/>
      <w:r>
        <w:rPr>
          <w:rFonts w:asciiTheme="majorHAnsi" w:hAnsiTheme="majorHAnsi" w:cstheme="majorHAnsi"/>
          <w:b/>
          <w:u w:val="single"/>
        </w:rPr>
        <w:t xml:space="preserve"> Exceptions</w:t>
      </w:r>
    </w:p>
    <w:p>
      <w:pPr>
        <w:spacing w:after="0" w:line="480" w:lineRule="auto"/>
        <w:rPr>
          <w:rFonts w:asciiTheme="majorHAnsi" w:hAnsiTheme="majorHAnsi" w:cstheme="majorHAnsi"/>
          <w:b/>
          <w:u w:val="single"/>
        </w:rPr>
      </w:pPr>
      <w:r>
        <w:rPr>
          <w:rFonts w:asciiTheme="majorHAnsi" w:hAnsiTheme="majorHAnsi" w:cstheme="majorHAnsi"/>
          <w:b/>
        </w:rPr>
        <w:tab/>
      </w:r>
      <w:r>
        <w:rPr>
          <w:rFonts w:asciiTheme="majorHAnsi" w:hAnsiTheme="majorHAnsi" w:cstheme="majorHAnsi"/>
          <w:b/>
        </w:rPr>
        <w:tab/>
        <w:t>1.</w:t>
      </w:r>
      <w:r>
        <w:rPr>
          <w:rFonts w:asciiTheme="majorHAnsi" w:hAnsiTheme="majorHAnsi" w:cstheme="majorHAnsi"/>
          <w:b/>
        </w:rPr>
        <w:tab/>
      </w:r>
      <w:r>
        <w:rPr>
          <w:rFonts w:asciiTheme="majorHAnsi" w:hAnsiTheme="majorHAnsi" w:cstheme="majorHAnsi"/>
          <w:b/>
          <w:u w:val="single"/>
        </w:rPr>
        <w:t>Emergencies</w:t>
      </w:r>
    </w:p>
    <w:p>
      <w:pPr>
        <w:spacing w:after="0" w:line="480" w:lineRule="auto"/>
        <w:ind w:firstLine="720"/>
      </w:pPr>
      <w:r>
        <w:t xml:space="preserve">On its face, the </w:t>
      </w:r>
      <w:proofErr w:type="spellStart"/>
      <w:r>
        <w:t>TCPA</w:t>
      </w:r>
      <w:proofErr w:type="spellEnd"/>
      <w:r>
        <w:t xml:space="preserve"> exempts calls made for “emergency purposes.”  47 </w:t>
      </w:r>
      <w:proofErr w:type="spellStart"/>
      <w:r>
        <w:t>U.S.C</w:t>
      </w:r>
      <w:proofErr w:type="spellEnd"/>
      <w:r>
        <w:t>. § 227(b</w:t>
      </w:r>
      <w:proofErr w:type="gramStart"/>
      <w:r>
        <w:t>)(</w:t>
      </w:r>
      <w:proofErr w:type="gramEnd"/>
      <w:r>
        <w:t xml:space="preserve">1)(A).  </w:t>
      </w:r>
      <w:r>
        <w:rPr>
          <w:i/>
        </w:rPr>
        <w:t xml:space="preserve">See also </w:t>
      </w:r>
      <w:r>
        <w:rPr>
          <w:i/>
          <w:iCs/>
        </w:rPr>
        <w:t xml:space="preserve">Grant v. Capital Mgmt. </w:t>
      </w:r>
      <w:proofErr w:type="spellStart"/>
      <w:r>
        <w:rPr>
          <w:i/>
          <w:iCs/>
        </w:rPr>
        <w:t>Servs</w:t>
      </w:r>
      <w:proofErr w:type="spellEnd"/>
      <w:r>
        <w:rPr>
          <w:i/>
          <w:iCs/>
        </w:rPr>
        <w:t>., L.P.</w:t>
      </w:r>
      <w:r>
        <w:t xml:space="preserve">, </w:t>
      </w:r>
      <w:proofErr w:type="gramStart"/>
      <w:r>
        <w:t>449</w:t>
      </w:r>
      <w:proofErr w:type="gramEnd"/>
      <w:r>
        <w:t xml:space="preserve"> Fed. </w:t>
      </w:r>
      <w:proofErr w:type="spellStart"/>
      <w:r>
        <w:t>App’x</w:t>
      </w:r>
      <w:proofErr w:type="spellEnd"/>
      <w:r>
        <w:t xml:space="preserve"> 598, </w:t>
      </w:r>
      <w:proofErr w:type="gramStart"/>
      <w:r>
        <w:t xml:space="preserve">600 </w:t>
      </w:r>
      <w:proofErr w:type="spellStart"/>
      <w:r>
        <w:t>n.1</w:t>
      </w:r>
      <w:proofErr w:type="spellEnd"/>
      <w:r>
        <w:t xml:space="preserve"> (9th Cir. 2011)</w:t>
      </w:r>
      <w:proofErr w:type="gramEnd"/>
      <w:r>
        <w:t xml:space="preserve">.  In fact, “[t]he </w:t>
      </w:r>
      <w:r>
        <w:rPr>
          <w:bCs/>
          <w:iCs/>
        </w:rPr>
        <w:t>only</w:t>
      </w:r>
      <w:r>
        <w:t xml:space="preserve"> statutory exceptions to the [</w:t>
      </w:r>
      <w:proofErr w:type="spellStart"/>
      <w:r>
        <w:t>TCPA</w:t>
      </w:r>
      <w:proofErr w:type="spellEnd"/>
      <w:r>
        <w:t xml:space="preserve"> prohibitions] are calls made </w:t>
      </w:r>
      <w:r>
        <w:rPr>
          <w:bCs/>
          <w:iCs/>
        </w:rPr>
        <w:t>for emergency purposes</w:t>
      </w:r>
      <w:r>
        <w:t xml:space="preserve"> or with the prior consent of the call recipient.”  </w:t>
      </w:r>
      <w:proofErr w:type="spellStart"/>
      <w:proofErr w:type="gramStart"/>
      <w:r>
        <w:rPr>
          <w:i/>
          <w:iCs/>
        </w:rPr>
        <w:t>Iniguez</w:t>
      </w:r>
      <w:proofErr w:type="spellEnd"/>
      <w:r>
        <w:rPr>
          <w:i/>
          <w:iCs/>
        </w:rPr>
        <w:t xml:space="preserve"> v.</w:t>
      </w:r>
      <w:proofErr w:type="gramEnd"/>
      <w:r>
        <w:rPr>
          <w:i/>
          <w:iCs/>
        </w:rPr>
        <w:t xml:space="preserve"> The CBE Grp.</w:t>
      </w:r>
      <w:r>
        <w:t xml:space="preserve">, 969 F. Supp. </w:t>
      </w:r>
      <w:proofErr w:type="spellStart"/>
      <w:r>
        <w:t>2d</w:t>
      </w:r>
      <w:proofErr w:type="spellEnd"/>
      <w:r>
        <w:t xml:space="preserve"> 1241, 1247 (E.D. Cal. 2013); </w:t>
      </w:r>
      <w:r>
        <w:rPr>
          <w:i/>
          <w:iCs/>
        </w:rPr>
        <w:t xml:space="preserve">see also </w:t>
      </w:r>
      <w:proofErr w:type="spellStart"/>
      <w:r>
        <w:rPr>
          <w:i/>
          <w:iCs/>
        </w:rPr>
        <w:t>Ibey</w:t>
      </w:r>
      <w:proofErr w:type="spellEnd"/>
      <w:r>
        <w:rPr>
          <w:i/>
          <w:iCs/>
        </w:rPr>
        <w:t xml:space="preserve"> v. Taco Bell Corp.</w:t>
      </w:r>
      <w:r>
        <w:t xml:space="preserve">, 2012 U.S. Dist. LEXIS 91030, at *6 (S.D. Cal. June 18, 2012) (calls made for emergency purposes are exempt from </w:t>
      </w:r>
      <w:proofErr w:type="spellStart"/>
      <w:r>
        <w:t>TCPA</w:t>
      </w:r>
      <w:proofErr w:type="spellEnd"/>
      <w:r>
        <w:t xml:space="preserve"> liability). </w:t>
      </w:r>
    </w:p>
    <w:p>
      <w:pPr>
        <w:spacing w:after="0" w:line="480" w:lineRule="auto"/>
        <w:ind w:firstLine="720"/>
      </w:pPr>
      <w:r>
        <w:t xml:space="preserve">The FCC has indicated that the “emergency purposes” is to be construed broadly: “The term </w:t>
      </w:r>
      <w:r>
        <w:rPr>
          <w:iCs/>
        </w:rPr>
        <w:t>emergency purposes</w:t>
      </w:r>
      <w:r>
        <w:t xml:space="preserve"> means calls made necessary in any situation affecting the health and safety of consumers.”  Restrictions on Telemarketing, Telephone Solicitation, and Facsimile Advertising, Delivery Restrictions, 47 </w:t>
      </w:r>
      <w:proofErr w:type="spellStart"/>
      <w:r>
        <w:t>C.F.R</w:t>
      </w:r>
      <w:proofErr w:type="spellEnd"/>
      <w:r>
        <w:t>. § 64.1200(f</w:t>
      </w:r>
      <w:proofErr w:type="gramStart"/>
      <w:r>
        <w:t>)(</w:t>
      </w:r>
      <w:proofErr w:type="gramEnd"/>
      <w:r>
        <w:t>4) (2012).</w:t>
      </w:r>
    </w:p>
    <w:p>
      <w:pPr>
        <w:spacing w:after="0" w:line="480" w:lineRule="auto"/>
        <w:ind w:firstLine="720"/>
      </w:pPr>
      <w:r>
        <w:t>Just recently, the FCC made clear how expansive the emergency exception can be in response to a petition filed by Blackboard, Inc., the educational technology company, concerning its mass notification system utilized by schools and other educational institutions to communicate with parents, students, faculty and staff.  The FCC “confirm[</w:t>
      </w:r>
      <w:proofErr w:type="spellStart"/>
      <w:r>
        <w:t>ed</w:t>
      </w:r>
      <w:proofErr w:type="spellEnd"/>
      <w:r>
        <w:t xml:space="preserve">] that autodialed calls to wireless numbers made necessary by a situation affecting the health and safety of students and faculty are made for an emergency purpose.”  </w:t>
      </w:r>
      <w:proofErr w:type="gramStart"/>
      <w:r>
        <w:rPr>
          <w:i/>
        </w:rPr>
        <w:t xml:space="preserve">In the Matter of Rules &amp; Regulations Implementing the </w:t>
      </w:r>
      <w:proofErr w:type="spellStart"/>
      <w:r>
        <w:rPr>
          <w:i/>
        </w:rPr>
        <w:t>TCPA</w:t>
      </w:r>
      <w:proofErr w:type="spellEnd"/>
      <w:r>
        <w:t>, 65 Communications Reg. (</w:t>
      </w:r>
      <w:proofErr w:type="spellStart"/>
      <w:r>
        <w:t>P&amp;F</w:t>
      </w:r>
      <w:proofErr w:type="spellEnd"/>
      <w:r>
        <w:t>) 226 (</w:t>
      </w:r>
      <w:proofErr w:type="spellStart"/>
      <w:r>
        <w:t>F.C.C</w:t>
      </w:r>
      <w:proofErr w:type="spellEnd"/>
      <w:r>
        <w:t>. Aug. 4, 2016).</w:t>
      </w:r>
      <w:proofErr w:type="gramEnd"/>
      <w:r>
        <w:t xml:space="preserve">  In such situations, the FCC determined, “autodialed calls made by school callers do not require consent </w:t>
      </w:r>
      <w:r>
        <w:lastRenderedPageBreak/>
        <w:t xml:space="preserve">pursuant to the </w:t>
      </w:r>
      <w:proofErr w:type="spellStart"/>
      <w:r>
        <w:t>TCPA's</w:t>
      </w:r>
      <w:proofErr w:type="spellEnd"/>
      <w:r>
        <w:t xml:space="preserve"> ‘emergency purpose’ exception as defined in the Commission's implementing rules.”  Examples provided by the FCC that “impact the health and safety of students and faculty” include: (1) calls or messages relating to weather closures, (2) incidents of threats and/or imminent danger to the school due to fire, dangerous persons, health risks (</w:t>
      </w:r>
      <w:r>
        <w:rPr>
          <w:i/>
          <w:iCs/>
        </w:rPr>
        <w:t>e.g.</w:t>
      </w:r>
      <w:r>
        <w:t>, toxic spills), (3) and unexcused absences.  The rationale of the Blackboard decision is not just limited to schools, but can be expected to apply to other users of mass-notification systems such as healthcare providers or large employers.</w:t>
      </w:r>
    </w:p>
    <w:p>
      <w:pPr>
        <w:spacing w:after="0" w:line="480" w:lineRule="auto"/>
        <w:rPr>
          <w:rFonts w:asciiTheme="majorHAnsi" w:hAnsiTheme="majorHAnsi" w:cstheme="majorHAnsi"/>
          <w:b/>
        </w:rPr>
      </w:pPr>
      <w:r>
        <w:rPr>
          <w:rFonts w:asciiTheme="majorHAnsi" w:hAnsiTheme="majorHAnsi" w:cstheme="majorHAnsi"/>
          <w:b/>
        </w:rPr>
        <w:tab/>
      </w:r>
      <w:r>
        <w:rPr>
          <w:rFonts w:asciiTheme="majorHAnsi" w:hAnsiTheme="majorHAnsi" w:cstheme="majorHAnsi"/>
          <w:b/>
        </w:rPr>
        <w:tab/>
        <w:t>2.</w:t>
      </w:r>
      <w:r>
        <w:rPr>
          <w:rFonts w:asciiTheme="majorHAnsi" w:hAnsiTheme="majorHAnsi" w:cstheme="majorHAnsi"/>
          <w:b/>
        </w:rPr>
        <w:tab/>
      </w:r>
      <w:r>
        <w:rPr>
          <w:rFonts w:asciiTheme="majorHAnsi" w:hAnsiTheme="majorHAnsi" w:cstheme="majorHAnsi"/>
          <w:b/>
          <w:u w:val="single"/>
        </w:rPr>
        <w:t xml:space="preserve">No exception for reassigned numbers </w:t>
      </w:r>
    </w:p>
    <w:p>
      <w:pPr>
        <w:spacing w:after="0" w:line="480" w:lineRule="auto"/>
        <w:ind w:firstLine="720"/>
      </w:pPr>
      <w:r>
        <w:t xml:space="preserve">One of the more vexing problems for businesses is the case of the reassigned cell phone number, which happens hundreds of thousands if not millions of times a year.  Even if a company had received consent from the owner of the number, what happens to that consent once the number is reassigned to another user, almost always with no actual notice to the company that had obtained previously obtained consent?  In its July 2015 omnibus declaratory ruling, the FCC clarified the meaning of the phrase “called party.”  The FCC held “that the ‘called party’ is the subscriber, </w:t>
      </w:r>
      <w:r>
        <w:rPr>
          <w:i/>
          <w:iCs/>
        </w:rPr>
        <w:t>i.e.</w:t>
      </w:r>
      <w:r>
        <w:t xml:space="preserve">, the consumer assigned the telephone number dialed and billed for the call, or the non-subscriber customary user of a telephone number included in a family or business calling plan.”    </w:t>
      </w:r>
      <w:r>
        <w:rPr>
          <w:i/>
          <w:iCs/>
        </w:rPr>
        <w:t xml:space="preserve">See In re Rules &amp; Regulations Implementing the </w:t>
      </w:r>
      <w:proofErr w:type="spellStart"/>
      <w:r>
        <w:rPr>
          <w:i/>
          <w:iCs/>
        </w:rPr>
        <w:t>TCPA</w:t>
      </w:r>
      <w:proofErr w:type="spellEnd"/>
      <w:r>
        <w:t xml:space="preserve">, Declaratory Ruling &amp; Order No. 15–72, 30 FCC </w:t>
      </w:r>
      <w:proofErr w:type="spellStart"/>
      <w:r>
        <w:t>Rcd</w:t>
      </w:r>
      <w:proofErr w:type="spellEnd"/>
      <w:r>
        <w:t>. 7961, 8001 (</w:t>
      </w:r>
      <w:proofErr w:type="spellStart"/>
      <w:r>
        <w:t>F.C.C</w:t>
      </w:r>
      <w:proofErr w:type="spellEnd"/>
      <w:r>
        <w:t xml:space="preserve">. July 10, 2015). </w:t>
      </w:r>
    </w:p>
    <w:p>
      <w:pPr>
        <w:spacing w:after="0" w:line="480" w:lineRule="auto"/>
        <w:ind w:firstLine="720"/>
      </w:pPr>
      <w:r>
        <w:t xml:space="preserve">In connection with this holding, the FCC found that even “calls to reassigned wireless numbers violate the </w:t>
      </w:r>
      <w:proofErr w:type="spellStart"/>
      <w:r>
        <w:t>TCPA</w:t>
      </w:r>
      <w:proofErr w:type="spellEnd"/>
      <w:r>
        <w:t xml:space="preserve"> when a previous subscriber, not the current subscriber or customary user, provided the prior express consent on which the call is based.”  </w:t>
      </w:r>
      <w:r>
        <w:rPr>
          <w:i/>
          <w:iCs/>
        </w:rPr>
        <w:t>Id.</w:t>
      </w:r>
      <w:r>
        <w:t xml:space="preserve">  The FCC, however, carved out a very limited safe-harbor exception to this rule to “</w:t>
      </w:r>
      <w:proofErr w:type="spellStart"/>
      <w:r>
        <w:t>balanc</w:t>
      </w:r>
      <w:proofErr w:type="spellEnd"/>
      <w:r>
        <w:t xml:space="preserve">[e] the caller’s interest in having an opportunity to learn of reassignment against the privacy interests of consumers to </w:t>
      </w:r>
      <w:r>
        <w:lastRenderedPageBreak/>
        <w:t xml:space="preserve">whom the number is reassigned.” </w:t>
      </w:r>
      <w:r>
        <w:rPr>
          <w:i/>
          <w:iCs/>
        </w:rPr>
        <w:t>Id.</w:t>
      </w:r>
      <w:r>
        <w:t xml:space="preserve"> at 8007:  “[C]</w:t>
      </w:r>
      <w:proofErr w:type="spellStart"/>
      <w:r>
        <w:t>allers</w:t>
      </w:r>
      <w:proofErr w:type="spellEnd"/>
      <w:r>
        <w:t xml:space="preserve"> who make calls without knowledge of reassignment and with a reasonable basis to believe that they have valid consent to make the call should be able to initiate one call after reassignment as an additional opportunity to gain actual or constructive knowledge of the reassignment and cease future calls to the new subscriber.  If this </w:t>
      </w:r>
      <w:r>
        <w:rPr>
          <w:i/>
        </w:rPr>
        <w:t>one additional call</w:t>
      </w:r>
      <w:r>
        <w:t xml:space="preserve"> does not yield actual knowledge of reassignment, we deem the caller to have constructive knowledge of such.”  </w:t>
      </w:r>
      <w:r>
        <w:rPr>
          <w:i/>
          <w:iCs/>
        </w:rPr>
        <w:t>Id.</w:t>
      </w:r>
      <w:r>
        <w:t xml:space="preserve"> at 8000 (emphasis added; footnotes omitted).  Thus, the </w:t>
      </w:r>
      <w:proofErr w:type="spellStart"/>
      <w:r>
        <w:t>TCPA</w:t>
      </w:r>
      <w:proofErr w:type="spellEnd"/>
      <w:r>
        <w:t xml:space="preserve"> requires the consent not of the intended recipient of a call, but of </w:t>
      </w:r>
      <w:r>
        <w:rPr>
          <w:i/>
        </w:rPr>
        <w:t>the current subscriber</w:t>
      </w:r>
      <w:r>
        <w:t xml:space="preserve"> (or non-subscriber customary user of the phone).</w:t>
      </w:r>
    </w:p>
    <w:p>
      <w:pPr>
        <w:spacing w:after="0" w:line="480" w:lineRule="auto"/>
        <w:rPr>
          <w:rFonts w:asciiTheme="majorHAnsi" w:hAnsiTheme="majorHAnsi" w:cstheme="majorHAnsi"/>
          <w:b/>
        </w:rPr>
      </w:pPr>
      <w:r>
        <w:rPr>
          <w:rFonts w:asciiTheme="majorHAnsi" w:hAnsiTheme="majorHAnsi" w:cstheme="majorHAnsi"/>
          <w:b/>
        </w:rPr>
        <w:t>VIII.</w:t>
      </w:r>
      <w:r>
        <w:rPr>
          <w:rFonts w:asciiTheme="majorHAnsi" w:hAnsiTheme="majorHAnsi" w:cstheme="majorHAnsi"/>
          <w:b/>
        </w:rPr>
        <w:tab/>
      </w:r>
      <w:r>
        <w:rPr>
          <w:rFonts w:asciiTheme="majorHAnsi" w:hAnsiTheme="majorHAnsi" w:cstheme="majorHAnsi"/>
          <w:b/>
          <w:u w:val="single"/>
        </w:rPr>
        <w:t xml:space="preserve">What Does the Future Hold for </w:t>
      </w:r>
      <w:proofErr w:type="spellStart"/>
      <w:r>
        <w:rPr>
          <w:rFonts w:asciiTheme="majorHAnsi" w:hAnsiTheme="majorHAnsi" w:cstheme="majorHAnsi"/>
          <w:b/>
          <w:u w:val="single"/>
        </w:rPr>
        <w:t>TCPA</w:t>
      </w:r>
      <w:proofErr w:type="spellEnd"/>
      <w:r>
        <w:rPr>
          <w:rFonts w:asciiTheme="majorHAnsi" w:hAnsiTheme="majorHAnsi" w:cstheme="majorHAnsi"/>
          <w:b/>
          <w:u w:val="single"/>
        </w:rPr>
        <w:t xml:space="preserve"> Liability?</w:t>
      </w:r>
    </w:p>
    <w:p>
      <w:pPr>
        <w:spacing w:after="0" w:line="480" w:lineRule="auto"/>
        <w:ind w:firstLine="720"/>
        <w:rPr>
          <w:rFonts w:asciiTheme="majorHAnsi" w:hAnsiTheme="majorHAnsi" w:cstheme="majorHAnsi"/>
        </w:rPr>
      </w:pPr>
      <w:r>
        <w:rPr>
          <w:rFonts w:asciiTheme="majorHAnsi" w:hAnsiTheme="majorHAnsi" w:cstheme="majorHAnsi"/>
        </w:rPr>
        <w:t xml:space="preserve">Absent action by Congress to amend the </w:t>
      </w:r>
      <w:proofErr w:type="spellStart"/>
      <w:r>
        <w:rPr>
          <w:rFonts w:asciiTheme="majorHAnsi" w:hAnsiTheme="majorHAnsi" w:cstheme="majorHAnsi"/>
        </w:rPr>
        <w:t>TCPA</w:t>
      </w:r>
      <w:proofErr w:type="spellEnd"/>
      <w:r>
        <w:rPr>
          <w:rFonts w:asciiTheme="majorHAnsi" w:hAnsiTheme="majorHAnsi" w:cstheme="majorHAnsi"/>
        </w:rPr>
        <w:t xml:space="preserve"> to reflect the realities of 21</w:t>
      </w:r>
      <w:r>
        <w:rPr>
          <w:rFonts w:asciiTheme="majorHAnsi" w:hAnsiTheme="majorHAnsi" w:cstheme="majorHAnsi"/>
          <w:vertAlign w:val="superscript"/>
        </w:rPr>
        <w:t>st</w:t>
      </w:r>
      <w:r>
        <w:rPr>
          <w:rFonts w:asciiTheme="majorHAnsi" w:hAnsiTheme="majorHAnsi" w:cstheme="majorHAnsi"/>
        </w:rPr>
        <w:t xml:space="preserve">-century technology, the primary battlegrounds over the </w:t>
      </w:r>
      <w:proofErr w:type="spellStart"/>
      <w:r>
        <w:rPr>
          <w:rFonts w:asciiTheme="majorHAnsi" w:hAnsiTheme="majorHAnsi" w:cstheme="majorHAnsi"/>
        </w:rPr>
        <w:t>TCPA</w:t>
      </w:r>
      <w:proofErr w:type="spellEnd"/>
      <w:r>
        <w:rPr>
          <w:rFonts w:asciiTheme="majorHAnsi" w:hAnsiTheme="majorHAnsi" w:cstheme="majorHAnsi"/>
        </w:rPr>
        <w:t xml:space="preserve"> continue to be the FCC and the Circuit Court of Appeals for the District Columbia.  A significant case scheduled to be argued on October 19, 2016</w:t>
      </w:r>
      <w:r>
        <w:rPr>
          <w:rStyle w:val="FootnoteReference"/>
          <w:rFonts w:asciiTheme="majorHAnsi" w:hAnsiTheme="majorHAnsi" w:cstheme="majorHAnsi"/>
        </w:rPr>
        <w:footnoteReference w:id="10"/>
      </w:r>
      <w:r>
        <w:rPr>
          <w:rFonts w:asciiTheme="majorHAnsi" w:hAnsiTheme="majorHAnsi" w:cstheme="majorHAnsi"/>
        </w:rPr>
        <w:t xml:space="preserve"> presents a number of challenges to the FCC’s July 15 omnibus declaratory ruling.  Key issues to be decided include (1) what “capacity” equipment must have in order to be deemed an </w:t>
      </w:r>
      <w:proofErr w:type="spellStart"/>
      <w:r>
        <w:rPr>
          <w:rFonts w:asciiTheme="majorHAnsi" w:hAnsiTheme="majorHAnsi" w:cstheme="majorHAnsi"/>
        </w:rPr>
        <w:t>ATDS</w:t>
      </w:r>
      <w:proofErr w:type="spellEnd"/>
      <w:r>
        <w:rPr>
          <w:rFonts w:asciiTheme="majorHAnsi" w:hAnsiTheme="majorHAnsi" w:cstheme="majorHAnsi"/>
        </w:rPr>
        <w:t xml:space="preserve">, </w:t>
      </w:r>
      <w:r>
        <w:rPr>
          <w:rFonts w:asciiTheme="majorHAnsi" w:hAnsiTheme="majorHAnsi" w:cstheme="majorHAnsi"/>
          <w:i/>
        </w:rPr>
        <w:t>i.e.</w:t>
      </w:r>
      <w:r>
        <w:rPr>
          <w:rFonts w:asciiTheme="majorHAnsi" w:hAnsiTheme="majorHAnsi" w:cstheme="majorHAnsi"/>
        </w:rPr>
        <w:t xml:space="preserve">, whether the focus be on present or potential capacity; (2) whether prior express consent of a “called party” only must come from the “intended recipient” of a call, or whether the term “called party” encompasses  any user of the number, whether the intended recipient or not (and including users of reassigned numbers);  and (3) whether the FCC could determine that consumers can revoke consent to receive calls “using any reasonable method,” a right which cannot be waived or limited by contract.  Resolution of these issues will go a long way to helping businesses assess their risk of </w:t>
      </w:r>
      <w:proofErr w:type="spellStart"/>
      <w:r>
        <w:rPr>
          <w:rFonts w:asciiTheme="majorHAnsi" w:hAnsiTheme="majorHAnsi" w:cstheme="majorHAnsi"/>
        </w:rPr>
        <w:t>TCPA</w:t>
      </w:r>
      <w:proofErr w:type="spellEnd"/>
      <w:r>
        <w:rPr>
          <w:rFonts w:asciiTheme="majorHAnsi" w:hAnsiTheme="majorHAnsi" w:cstheme="majorHAnsi"/>
        </w:rPr>
        <w:t xml:space="preserve"> liability and develop processes for </w:t>
      </w:r>
      <w:proofErr w:type="spellStart"/>
      <w:r>
        <w:rPr>
          <w:rFonts w:asciiTheme="majorHAnsi" w:hAnsiTheme="majorHAnsi" w:cstheme="majorHAnsi"/>
        </w:rPr>
        <w:t>TCPA</w:t>
      </w:r>
      <w:proofErr w:type="spellEnd"/>
      <w:r>
        <w:rPr>
          <w:rFonts w:asciiTheme="majorHAnsi" w:hAnsiTheme="majorHAnsi" w:cstheme="majorHAnsi"/>
        </w:rPr>
        <w:t xml:space="preserve"> compliance.</w:t>
      </w:r>
    </w:p>
    <w:p>
      <w:pPr>
        <w:shd w:val="clear" w:color="auto" w:fill="FFFFFF"/>
        <w:spacing w:after="150"/>
        <w:outlineLvl w:val="5"/>
        <w:rPr>
          <w:rFonts w:asciiTheme="majorHAnsi" w:hAnsiTheme="majorHAnsi" w:cstheme="majorHAnsi"/>
          <w:b/>
          <w:bCs/>
        </w:rPr>
      </w:pPr>
      <w:r>
        <w:rPr>
          <w:rFonts w:asciiTheme="majorHAnsi" w:hAnsiTheme="majorHAnsi" w:cstheme="majorHAnsi"/>
          <w:b/>
          <w:bCs/>
        </w:rPr>
        <w:lastRenderedPageBreak/>
        <w:t>IX.</w:t>
      </w:r>
      <w:r>
        <w:rPr>
          <w:rFonts w:asciiTheme="majorHAnsi" w:hAnsiTheme="majorHAnsi" w:cstheme="majorHAnsi"/>
          <w:b/>
          <w:bCs/>
        </w:rPr>
        <w:tab/>
      </w:r>
      <w:proofErr w:type="spellStart"/>
      <w:r>
        <w:rPr>
          <w:rFonts w:asciiTheme="majorHAnsi" w:hAnsiTheme="majorHAnsi" w:cstheme="majorHAnsi"/>
          <w:b/>
          <w:bCs/>
          <w:u w:val="single"/>
        </w:rPr>
        <w:t>TCPA</w:t>
      </w:r>
      <w:proofErr w:type="spellEnd"/>
      <w:r>
        <w:rPr>
          <w:rFonts w:asciiTheme="majorHAnsi" w:hAnsiTheme="majorHAnsi" w:cstheme="majorHAnsi"/>
          <w:b/>
          <w:bCs/>
          <w:u w:val="single"/>
        </w:rPr>
        <w:t xml:space="preserve"> Takeaways</w:t>
      </w:r>
    </w:p>
    <w:p>
      <w:pPr>
        <w:shd w:val="clear" w:color="auto" w:fill="FFFFFF"/>
        <w:spacing w:after="0" w:line="480" w:lineRule="auto"/>
        <w:ind w:firstLine="720"/>
        <w:rPr>
          <w:rFonts w:asciiTheme="majorHAnsi" w:hAnsiTheme="majorHAnsi" w:cstheme="majorHAnsi"/>
        </w:rPr>
      </w:pPr>
      <w:r>
        <w:rPr>
          <w:rFonts w:asciiTheme="majorHAnsi" w:hAnsiTheme="majorHAnsi" w:cstheme="majorHAnsi"/>
        </w:rPr>
        <w:t xml:space="preserve">Businesses and their counsel need to be vigilant about </w:t>
      </w:r>
      <w:proofErr w:type="spellStart"/>
      <w:r>
        <w:rPr>
          <w:rFonts w:asciiTheme="majorHAnsi" w:hAnsiTheme="majorHAnsi" w:cstheme="majorHAnsi"/>
        </w:rPr>
        <w:t>TCPA</w:t>
      </w:r>
      <w:proofErr w:type="spellEnd"/>
      <w:r>
        <w:rPr>
          <w:rFonts w:asciiTheme="majorHAnsi" w:hAnsiTheme="majorHAnsi" w:cstheme="majorHAnsi"/>
        </w:rPr>
        <w:t xml:space="preserve"> compliance both internally and for third-party marketing partners and must ensure that consumer communications fall within the scope of consent provided by the recipient.  However, the </w:t>
      </w:r>
      <w:proofErr w:type="spellStart"/>
      <w:r>
        <w:rPr>
          <w:rFonts w:asciiTheme="majorHAnsi" w:hAnsiTheme="majorHAnsi" w:cstheme="majorHAnsi"/>
        </w:rPr>
        <w:t>TCPA</w:t>
      </w:r>
      <w:proofErr w:type="spellEnd"/>
      <w:r>
        <w:rPr>
          <w:rFonts w:asciiTheme="majorHAnsi" w:hAnsiTheme="majorHAnsi" w:cstheme="majorHAnsi"/>
        </w:rPr>
        <w:t xml:space="preserve"> was not intended to “be a barrier to normal, expected, and desired business communications.”  While it is impossible to completely protect against the possibility of having to face a </w:t>
      </w:r>
      <w:proofErr w:type="spellStart"/>
      <w:r>
        <w:rPr>
          <w:rFonts w:asciiTheme="majorHAnsi" w:hAnsiTheme="majorHAnsi" w:cstheme="majorHAnsi"/>
        </w:rPr>
        <w:t>TCPA</w:t>
      </w:r>
      <w:proofErr w:type="spellEnd"/>
      <w:r>
        <w:rPr>
          <w:rFonts w:asciiTheme="majorHAnsi" w:hAnsiTheme="majorHAnsi" w:cstheme="majorHAnsi"/>
        </w:rPr>
        <w:t xml:space="preserve"> claim, the following are some considerations and best practices for any business that wishes to reduce its risk of </w:t>
      </w:r>
      <w:proofErr w:type="spellStart"/>
      <w:r>
        <w:rPr>
          <w:rFonts w:asciiTheme="majorHAnsi" w:hAnsiTheme="majorHAnsi" w:cstheme="majorHAnsi"/>
        </w:rPr>
        <w:t>TCPA</w:t>
      </w:r>
      <w:proofErr w:type="spellEnd"/>
      <w:r>
        <w:rPr>
          <w:rFonts w:asciiTheme="majorHAnsi" w:hAnsiTheme="majorHAnsi" w:cstheme="majorHAnsi"/>
        </w:rPr>
        <w:t xml:space="preserve"> liability or to at least ensure that key defenses are available in the event of </w:t>
      </w:r>
      <w:proofErr w:type="spellStart"/>
      <w:r>
        <w:rPr>
          <w:rFonts w:asciiTheme="majorHAnsi" w:hAnsiTheme="majorHAnsi" w:cstheme="majorHAnsi"/>
        </w:rPr>
        <w:t>TCPA</w:t>
      </w:r>
      <w:proofErr w:type="spellEnd"/>
      <w:r>
        <w:rPr>
          <w:rFonts w:asciiTheme="majorHAnsi" w:hAnsiTheme="majorHAnsi" w:cstheme="majorHAnsi"/>
        </w:rPr>
        <w:t xml:space="preserve"> litigation:</w:t>
      </w:r>
      <w:r>
        <w:rPr>
          <w:rStyle w:val="FootnoteReference"/>
          <w:rFonts w:asciiTheme="majorHAnsi" w:hAnsiTheme="majorHAnsi" w:cstheme="majorHAnsi"/>
          <w:sz w:val="20"/>
          <w:szCs w:val="20"/>
        </w:rPr>
        <w:footnoteReference w:id="11"/>
      </w:r>
    </w:p>
    <w:p>
      <w:pPr>
        <w:pStyle w:val="ListParagraph"/>
        <w:numPr>
          <w:ilvl w:val="0"/>
          <w:numId w:val="33"/>
        </w:numPr>
        <w:shd w:val="clear" w:color="auto" w:fill="FFFFFF"/>
        <w:spacing w:after="300"/>
        <w:rPr>
          <w:rFonts w:asciiTheme="majorHAnsi" w:hAnsiTheme="majorHAnsi" w:cstheme="majorHAnsi"/>
        </w:rPr>
      </w:pPr>
      <w:r>
        <w:rPr>
          <w:rFonts w:asciiTheme="majorHAnsi" w:hAnsiTheme="majorHAnsi" w:cstheme="majorHAnsi"/>
          <w:b/>
          <w:bCs/>
        </w:rPr>
        <w:t>DO</w:t>
      </w:r>
      <w:r>
        <w:rPr>
          <w:rFonts w:asciiTheme="majorHAnsi" w:hAnsiTheme="majorHAnsi" w:cstheme="majorHAnsi"/>
          <w:bCs/>
        </w:rPr>
        <w:t xml:space="preserve"> Obtain Express Written Consent Prior to Initiating or Sending Telemarketing Calls to Consumers. </w:t>
      </w:r>
    </w:p>
    <w:p>
      <w:pPr>
        <w:pStyle w:val="ListParagraph"/>
        <w:shd w:val="clear" w:color="auto" w:fill="FFFFFF"/>
        <w:spacing w:after="300"/>
        <w:rPr>
          <w:rFonts w:asciiTheme="majorHAnsi" w:hAnsiTheme="majorHAnsi" w:cstheme="majorHAnsi"/>
        </w:rPr>
      </w:pPr>
      <w:r>
        <w:rPr>
          <w:rFonts w:asciiTheme="majorHAnsi" w:hAnsiTheme="majorHAnsi" w:cstheme="majorHAnsi"/>
        </w:rPr>
        <w:t xml:space="preserve"> </w:t>
      </w:r>
    </w:p>
    <w:p>
      <w:pPr>
        <w:pStyle w:val="ListParagraph"/>
        <w:numPr>
          <w:ilvl w:val="0"/>
          <w:numId w:val="33"/>
        </w:numPr>
        <w:shd w:val="clear" w:color="auto" w:fill="FFFFFF"/>
        <w:spacing w:after="300"/>
        <w:rPr>
          <w:rFonts w:asciiTheme="majorHAnsi" w:hAnsiTheme="majorHAnsi" w:cstheme="majorHAnsi"/>
        </w:rPr>
      </w:pPr>
      <w:r>
        <w:rPr>
          <w:rFonts w:asciiTheme="majorHAnsi" w:hAnsiTheme="majorHAnsi" w:cstheme="majorHAnsi"/>
          <w:b/>
          <w:bCs/>
        </w:rPr>
        <w:t xml:space="preserve">DO </w:t>
      </w:r>
      <w:r>
        <w:rPr>
          <w:rFonts w:asciiTheme="majorHAnsi" w:hAnsiTheme="majorHAnsi" w:cstheme="majorHAnsi"/>
          <w:bCs/>
        </w:rPr>
        <w:t>Provide One or More Opt-Out Mechanisms.</w:t>
      </w:r>
      <w:r>
        <w:rPr>
          <w:rFonts w:asciiTheme="majorHAnsi" w:hAnsiTheme="majorHAnsi" w:cstheme="majorHAnsi"/>
          <w:b/>
          <w:bCs/>
        </w:rPr>
        <w:t> </w:t>
      </w:r>
    </w:p>
    <w:p>
      <w:pPr>
        <w:pStyle w:val="ListParagraph"/>
        <w:shd w:val="clear" w:color="auto" w:fill="FFFFFF"/>
        <w:spacing w:after="300"/>
        <w:rPr>
          <w:rFonts w:asciiTheme="majorHAnsi" w:hAnsiTheme="majorHAnsi" w:cstheme="majorHAnsi"/>
        </w:rPr>
      </w:pPr>
    </w:p>
    <w:p>
      <w:pPr>
        <w:pStyle w:val="ListParagraph"/>
        <w:numPr>
          <w:ilvl w:val="0"/>
          <w:numId w:val="33"/>
        </w:numPr>
        <w:shd w:val="clear" w:color="auto" w:fill="FFFFFF"/>
        <w:spacing w:after="300"/>
        <w:rPr>
          <w:rFonts w:asciiTheme="majorHAnsi" w:hAnsiTheme="majorHAnsi" w:cstheme="majorHAnsi"/>
        </w:rPr>
      </w:pPr>
      <w:r>
        <w:rPr>
          <w:rFonts w:asciiTheme="majorHAnsi" w:hAnsiTheme="majorHAnsi" w:cstheme="majorHAnsi"/>
          <w:b/>
          <w:bCs/>
        </w:rPr>
        <w:t xml:space="preserve">DO </w:t>
      </w:r>
      <w:r>
        <w:rPr>
          <w:rFonts w:asciiTheme="majorHAnsi" w:hAnsiTheme="majorHAnsi" w:cstheme="majorHAnsi"/>
          <w:bCs/>
        </w:rPr>
        <w:t xml:space="preserve">Require All Third-Party Vendors or Marketing Partners to Be in Compliance with the </w:t>
      </w:r>
      <w:proofErr w:type="spellStart"/>
      <w:r>
        <w:rPr>
          <w:rFonts w:asciiTheme="majorHAnsi" w:hAnsiTheme="majorHAnsi" w:cstheme="majorHAnsi"/>
          <w:bCs/>
        </w:rPr>
        <w:t>TCPA</w:t>
      </w:r>
      <w:proofErr w:type="spellEnd"/>
      <w:r>
        <w:rPr>
          <w:rFonts w:asciiTheme="majorHAnsi" w:hAnsiTheme="majorHAnsi" w:cstheme="majorHAnsi"/>
          <w:bCs/>
        </w:rPr>
        <w:t>.</w:t>
      </w:r>
      <w:r>
        <w:rPr>
          <w:rFonts w:asciiTheme="majorHAnsi" w:hAnsiTheme="majorHAnsi" w:cstheme="majorHAnsi"/>
          <w:b/>
          <w:bCs/>
        </w:rPr>
        <w:t> </w:t>
      </w:r>
    </w:p>
    <w:p>
      <w:pPr>
        <w:pStyle w:val="ListParagraph"/>
        <w:shd w:val="clear" w:color="auto" w:fill="FFFFFF"/>
        <w:spacing w:after="300"/>
        <w:rPr>
          <w:rFonts w:asciiTheme="majorHAnsi" w:hAnsiTheme="majorHAnsi" w:cstheme="majorHAnsi"/>
        </w:rPr>
      </w:pPr>
    </w:p>
    <w:p>
      <w:pPr>
        <w:pStyle w:val="ListParagraph"/>
        <w:numPr>
          <w:ilvl w:val="0"/>
          <w:numId w:val="33"/>
        </w:numPr>
        <w:shd w:val="clear" w:color="auto" w:fill="FFFFFF"/>
        <w:spacing w:after="300"/>
        <w:rPr>
          <w:rFonts w:asciiTheme="majorHAnsi" w:hAnsiTheme="majorHAnsi" w:cstheme="majorHAnsi"/>
        </w:rPr>
      </w:pPr>
      <w:r>
        <w:rPr>
          <w:rFonts w:asciiTheme="majorHAnsi" w:hAnsiTheme="majorHAnsi" w:cstheme="majorHAnsi"/>
          <w:b/>
          <w:bCs/>
        </w:rPr>
        <w:t xml:space="preserve">DO </w:t>
      </w:r>
      <w:r>
        <w:rPr>
          <w:rFonts w:asciiTheme="majorHAnsi" w:hAnsiTheme="majorHAnsi" w:cstheme="majorHAnsi"/>
          <w:bCs/>
        </w:rPr>
        <w:t>Review and Categorize Messages Sent. </w:t>
      </w:r>
    </w:p>
    <w:p>
      <w:pPr>
        <w:pStyle w:val="ListParagraph"/>
        <w:shd w:val="clear" w:color="auto" w:fill="FFFFFF"/>
        <w:spacing w:after="300"/>
        <w:rPr>
          <w:rFonts w:asciiTheme="majorHAnsi" w:hAnsiTheme="majorHAnsi" w:cstheme="majorHAnsi"/>
        </w:rPr>
      </w:pPr>
    </w:p>
    <w:p>
      <w:pPr>
        <w:pStyle w:val="ListParagraph"/>
        <w:numPr>
          <w:ilvl w:val="0"/>
          <w:numId w:val="33"/>
        </w:numPr>
        <w:shd w:val="clear" w:color="auto" w:fill="FFFFFF"/>
        <w:spacing w:after="300"/>
        <w:rPr>
          <w:rFonts w:asciiTheme="majorHAnsi" w:hAnsiTheme="majorHAnsi" w:cstheme="majorHAnsi"/>
        </w:rPr>
      </w:pPr>
      <w:r>
        <w:rPr>
          <w:rFonts w:asciiTheme="majorHAnsi" w:hAnsiTheme="majorHAnsi" w:cstheme="majorHAnsi"/>
          <w:b/>
          <w:bCs/>
        </w:rPr>
        <w:t>DO</w:t>
      </w:r>
      <w:r>
        <w:rPr>
          <w:rFonts w:asciiTheme="majorHAnsi" w:hAnsiTheme="majorHAnsi" w:cstheme="majorHAnsi"/>
          <w:bCs/>
        </w:rPr>
        <w:t xml:space="preserve"> Keep “Informational” Messages Content-Neutral.</w:t>
      </w:r>
      <w:r>
        <w:rPr>
          <w:rFonts w:asciiTheme="majorHAnsi" w:hAnsiTheme="majorHAnsi" w:cstheme="majorHAnsi"/>
          <w:b/>
          <w:bCs/>
        </w:rPr>
        <w:t> </w:t>
      </w:r>
    </w:p>
    <w:p>
      <w:pPr>
        <w:pStyle w:val="ListParagraph"/>
        <w:shd w:val="clear" w:color="auto" w:fill="FFFFFF"/>
        <w:spacing w:after="300"/>
        <w:rPr>
          <w:rFonts w:asciiTheme="majorHAnsi" w:hAnsiTheme="majorHAnsi" w:cstheme="majorHAnsi"/>
        </w:rPr>
      </w:pPr>
    </w:p>
    <w:p>
      <w:pPr>
        <w:pStyle w:val="ListParagraph"/>
        <w:numPr>
          <w:ilvl w:val="0"/>
          <w:numId w:val="33"/>
        </w:numPr>
        <w:shd w:val="clear" w:color="auto" w:fill="FFFFFF"/>
        <w:spacing w:after="300"/>
        <w:rPr>
          <w:rFonts w:asciiTheme="majorHAnsi" w:hAnsiTheme="majorHAnsi" w:cstheme="majorHAnsi"/>
        </w:rPr>
      </w:pPr>
      <w:proofErr w:type="gramStart"/>
      <w:r>
        <w:rPr>
          <w:rFonts w:asciiTheme="majorHAnsi" w:hAnsiTheme="majorHAnsi" w:cstheme="majorHAnsi"/>
          <w:b/>
          <w:bCs/>
        </w:rPr>
        <w:t>DO</w:t>
      </w:r>
      <w:proofErr w:type="gramEnd"/>
      <w:r>
        <w:rPr>
          <w:rFonts w:asciiTheme="majorHAnsi" w:hAnsiTheme="majorHAnsi" w:cstheme="majorHAnsi"/>
          <w:bCs/>
        </w:rPr>
        <w:t xml:space="preserve"> Make Consent Forms Clear, Conspicuous and User-Friendly.</w:t>
      </w:r>
      <w:r>
        <w:rPr>
          <w:rFonts w:asciiTheme="majorHAnsi" w:hAnsiTheme="majorHAnsi" w:cstheme="majorHAnsi"/>
          <w:b/>
          <w:bCs/>
        </w:rPr>
        <w:t> </w:t>
      </w:r>
    </w:p>
    <w:p>
      <w:pPr>
        <w:pStyle w:val="ListParagraph"/>
        <w:shd w:val="clear" w:color="auto" w:fill="FFFFFF"/>
        <w:spacing w:after="300"/>
        <w:rPr>
          <w:rFonts w:asciiTheme="majorHAnsi" w:hAnsiTheme="majorHAnsi" w:cstheme="majorHAnsi"/>
        </w:rPr>
      </w:pPr>
    </w:p>
    <w:p>
      <w:pPr>
        <w:pStyle w:val="ListParagraph"/>
        <w:numPr>
          <w:ilvl w:val="0"/>
          <w:numId w:val="33"/>
        </w:numPr>
        <w:shd w:val="clear" w:color="auto" w:fill="FFFFFF"/>
        <w:spacing w:after="300"/>
        <w:rPr>
          <w:rFonts w:asciiTheme="majorHAnsi" w:hAnsiTheme="majorHAnsi" w:cstheme="majorHAnsi"/>
        </w:rPr>
      </w:pPr>
      <w:r>
        <w:rPr>
          <w:rFonts w:asciiTheme="majorHAnsi" w:hAnsiTheme="majorHAnsi" w:cstheme="majorHAnsi"/>
          <w:b/>
          <w:bCs/>
        </w:rPr>
        <w:t>DO</w:t>
      </w:r>
      <w:r>
        <w:rPr>
          <w:rFonts w:asciiTheme="majorHAnsi" w:hAnsiTheme="majorHAnsi" w:cstheme="majorHAnsi"/>
          <w:bCs/>
        </w:rPr>
        <w:t xml:space="preserve"> Keep All Records of Consent for At Least Four Years. </w:t>
      </w:r>
    </w:p>
    <w:p>
      <w:pPr>
        <w:pStyle w:val="ListParagraph"/>
        <w:shd w:val="clear" w:color="auto" w:fill="FFFFFF"/>
        <w:spacing w:after="300"/>
        <w:rPr>
          <w:rFonts w:asciiTheme="majorHAnsi" w:hAnsiTheme="majorHAnsi" w:cstheme="majorHAnsi"/>
        </w:rPr>
      </w:pPr>
      <w:r>
        <w:rPr>
          <w:rFonts w:asciiTheme="majorHAnsi" w:hAnsiTheme="majorHAnsi" w:cstheme="majorHAnsi"/>
        </w:rPr>
        <w:t xml:space="preserve"> </w:t>
      </w:r>
    </w:p>
    <w:p>
      <w:pPr>
        <w:pStyle w:val="ListParagraph"/>
        <w:numPr>
          <w:ilvl w:val="0"/>
          <w:numId w:val="33"/>
        </w:numPr>
        <w:shd w:val="clear" w:color="auto" w:fill="FFFFFF"/>
        <w:spacing w:after="300"/>
        <w:rPr>
          <w:rFonts w:asciiTheme="majorHAnsi" w:hAnsiTheme="majorHAnsi" w:cstheme="majorHAnsi"/>
        </w:rPr>
      </w:pPr>
      <w:r>
        <w:rPr>
          <w:rFonts w:asciiTheme="majorHAnsi" w:hAnsiTheme="majorHAnsi" w:cstheme="majorHAnsi"/>
          <w:b/>
          <w:bCs/>
        </w:rPr>
        <w:t>DO NOT</w:t>
      </w:r>
      <w:r>
        <w:rPr>
          <w:rFonts w:asciiTheme="majorHAnsi" w:hAnsiTheme="majorHAnsi" w:cstheme="majorHAnsi"/>
          <w:bCs/>
        </w:rPr>
        <w:t xml:space="preserve"> Assume That Consent Received in the Past Remains Valid.</w:t>
      </w:r>
      <w:r>
        <w:rPr>
          <w:rFonts w:asciiTheme="majorHAnsi" w:hAnsiTheme="majorHAnsi" w:cstheme="majorHAnsi"/>
          <w:b/>
          <w:bCs/>
        </w:rPr>
        <w:t> </w:t>
      </w:r>
    </w:p>
    <w:p>
      <w:pPr>
        <w:pStyle w:val="ListParagraph"/>
        <w:shd w:val="clear" w:color="auto" w:fill="FFFFFF"/>
        <w:spacing w:after="300"/>
        <w:rPr>
          <w:rFonts w:asciiTheme="majorHAnsi" w:hAnsiTheme="majorHAnsi" w:cstheme="majorHAnsi"/>
        </w:rPr>
      </w:pPr>
    </w:p>
    <w:p>
      <w:pPr>
        <w:pStyle w:val="ListParagraph"/>
        <w:numPr>
          <w:ilvl w:val="0"/>
          <w:numId w:val="33"/>
        </w:numPr>
        <w:shd w:val="clear" w:color="auto" w:fill="FFFFFF"/>
        <w:spacing w:after="300"/>
        <w:rPr>
          <w:rFonts w:asciiTheme="majorHAnsi" w:hAnsiTheme="majorHAnsi" w:cstheme="majorHAnsi"/>
        </w:rPr>
      </w:pPr>
      <w:r>
        <w:rPr>
          <w:rFonts w:asciiTheme="majorHAnsi" w:hAnsiTheme="majorHAnsi" w:cstheme="majorHAnsi"/>
          <w:b/>
          <w:bCs/>
        </w:rPr>
        <w:t>DO NOT</w:t>
      </w:r>
      <w:r>
        <w:rPr>
          <w:rFonts w:asciiTheme="majorHAnsi" w:hAnsiTheme="majorHAnsi" w:cstheme="majorHAnsi"/>
          <w:bCs/>
        </w:rPr>
        <w:t xml:space="preserve"> Place Unnecessary Restrictions on the Scope of Consent. </w:t>
      </w:r>
    </w:p>
    <w:p>
      <w:pPr>
        <w:pStyle w:val="ListParagraph"/>
        <w:shd w:val="clear" w:color="auto" w:fill="FFFFFF"/>
        <w:spacing w:after="300"/>
        <w:rPr>
          <w:rFonts w:asciiTheme="majorHAnsi" w:hAnsiTheme="majorHAnsi" w:cstheme="majorHAnsi"/>
        </w:rPr>
      </w:pPr>
    </w:p>
    <w:p>
      <w:pPr>
        <w:pStyle w:val="ListParagraph"/>
        <w:numPr>
          <w:ilvl w:val="0"/>
          <w:numId w:val="33"/>
        </w:numPr>
        <w:shd w:val="clear" w:color="auto" w:fill="FFFFFF"/>
        <w:spacing w:after="300"/>
        <w:rPr>
          <w:rFonts w:asciiTheme="majorHAnsi" w:hAnsiTheme="majorHAnsi" w:cstheme="majorHAnsi"/>
        </w:rPr>
      </w:pPr>
      <w:r>
        <w:rPr>
          <w:rFonts w:asciiTheme="majorHAnsi" w:hAnsiTheme="majorHAnsi" w:cstheme="majorHAnsi"/>
          <w:b/>
          <w:bCs/>
        </w:rPr>
        <w:t>DO NOT</w:t>
      </w:r>
      <w:r>
        <w:rPr>
          <w:rFonts w:asciiTheme="majorHAnsi" w:hAnsiTheme="majorHAnsi" w:cstheme="majorHAnsi"/>
          <w:bCs/>
        </w:rPr>
        <w:t xml:space="preserve"> Assume That a Device Is Not an </w:t>
      </w:r>
      <w:proofErr w:type="spellStart"/>
      <w:r>
        <w:rPr>
          <w:rFonts w:asciiTheme="majorHAnsi" w:hAnsiTheme="majorHAnsi" w:cstheme="majorHAnsi"/>
          <w:bCs/>
        </w:rPr>
        <w:t>ATDS</w:t>
      </w:r>
      <w:proofErr w:type="spellEnd"/>
      <w:r>
        <w:rPr>
          <w:rFonts w:asciiTheme="majorHAnsi" w:hAnsiTheme="majorHAnsi" w:cstheme="majorHAnsi"/>
          <w:bCs/>
        </w:rPr>
        <w:t>.</w:t>
      </w:r>
      <w:r>
        <w:rPr>
          <w:rFonts w:asciiTheme="majorHAnsi" w:hAnsiTheme="majorHAnsi" w:cstheme="majorHAnsi"/>
          <w:b/>
          <w:bCs/>
        </w:rPr>
        <w:t> </w:t>
      </w:r>
    </w:p>
    <w:p>
      <w:pPr>
        <w:pStyle w:val="ListParagraph"/>
        <w:shd w:val="clear" w:color="auto" w:fill="FFFFFF"/>
        <w:spacing w:after="300"/>
        <w:rPr>
          <w:rFonts w:asciiTheme="majorHAnsi" w:hAnsiTheme="majorHAnsi" w:cstheme="majorHAnsi"/>
        </w:rPr>
      </w:pPr>
    </w:p>
    <w:p>
      <w:pPr>
        <w:pStyle w:val="ListParagraph"/>
        <w:numPr>
          <w:ilvl w:val="0"/>
          <w:numId w:val="33"/>
        </w:numPr>
        <w:shd w:val="clear" w:color="auto" w:fill="FFFFFF"/>
        <w:spacing w:after="300"/>
        <w:rPr>
          <w:rFonts w:asciiTheme="majorHAnsi" w:hAnsiTheme="majorHAnsi" w:cstheme="majorHAnsi"/>
          <w:b/>
          <w:sz w:val="22"/>
          <w:szCs w:val="22"/>
        </w:rPr>
      </w:pPr>
      <w:r>
        <w:rPr>
          <w:rFonts w:asciiTheme="majorHAnsi" w:hAnsiTheme="majorHAnsi" w:cstheme="majorHAnsi"/>
          <w:b/>
          <w:bCs/>
        </w:rPr>
        <w:t>DO NOT</w:t>
      </w:r>
      <w:r>
        <w:rPr>
          <w:rFonts w:asciiTheme="majorHAnsi" w:hAnsiTheme="majorHAnsi" w:cstheme="majorHAnsi"/>
          <w:bCs/>
        </w:rPr>
        <w:t xml:space="preserve"> Assume That You Are Safe From </w:t>
      </w:r>
      <w:proofErr w:type="spellStart"/>
      <w:r>
        <w:rPr>
          <w:rFonts w:asciiTheme="majorHAnsi" w:hAnsiTheme="majorHAnsi" w:cstheme="majorHAnsi"/>
          <w:bCs/>
        </w:rPr>
        <w:t>TCPA</w:t>
      </w:r>
      <w:proofErr w:type="spellEnd"/>
      <w:r>
        <w:rPr>
          <w:rFonts w:asciiTheme="majorHAnsi" w:hAnsiTheme="majorHAnsi" w:cstheme="majorHAnsi"/>
          <w:bCs/>
        </w:rPr>
        <w:t xml:space="preserve"> Liability by Using a Third-Party Marketer or Vendor. </w:t>
      </w:r>
      <w:r>
        <w:rPr>
          <w:rFonts w:asciiTheme="majorHAnsi" w:hAnsiTheme="majorHAnsi" w:cstheme="majorHAnsi"/>
          <w:sz w:val="22"/>
          <w:szCs w:val="22"/>
        </w:rPr>
        <w:t xml:space="preserve"> </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heme="minorHAnsi" w:hAnsiTheme="minorHAnsi"/>
        </w:rPr>
      </w:pPr>
      <w:r>
        <w:rPr>
          <w:rFonts w:asciiTheme="minorHAnsi" w:hAnsiTheme="minorHAnsi"/>
        </w:rPr>
        <w:separator/>
      </w:r>
    </w:p>
  </w:endnote>
  <w:endnote w:type="continuationSeparator" w:id="0">
    <w:p>
      <w:pPr>
        <w:rPr>
          <w:rFonts w:asciiTheme="minorHAnsi" w:hAnsiTheme="minorHAnsi"/>
        </w:rPr>
      </w:pPr>
      <w:r>
        <w:rPr>
          <w:rFonts w:asciiTheme="minorHAnsi"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616ff312-bae0-47de-99f8-3d3a"/>
  <w:p>
    <w:pPr>
      <w:pStyle w:val="DocID"/>
    </w:pPr>
    <w:r>
      <w:fldChar w:fldCharType="begin"/>
    </w:r>
    <w:r>
      <w:instrText xml:space="preserve">  DOCPROPERTY "CUS_DocIDChunk0" </w:instrText>
    </w:r>
    <w:r>
      <w:fldChar w:fldCharType="separate"/>
    </w:r>
    <w:r>
      <w:t>ACTIVE\</w:t>
    </w:r>
    <w:proofErr w:type="spellStart"/>
    <w:r>
      <w:t>42681680.v2</w:t>
    </w:r>
    <w:proofErr w:type="spellEnd"/>
    <w:r>
      <w:t>-11/20/16</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37777"/>
      <w:docPartObj>
        <w:docPartGallery w:val="Page Numbers (Bottom of Page)"/>
        <w:docPartUnique/>
      </w:docPartObj>
    </w:sdtPr>
    <w:sdtEndPr>
      <w:rPr>
        <w:noProof/>
      </w:rPr>
    </w:sdtEndPr>
    <w:sdtContent>
      <w:p>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pPr>
      <w:pStyle w:val="DocID"/>
    </w:pPr>
    <w:r>
      <w:fldChar w:fldCharType="begin"/>
    </w:r>
    <w:r>
      <w:instrText xml:space="preserve"> DOCPROPERTY "DocID" \* MERGEFORMAT </w:instrText>
    </w:r>
    <w:r>
      <w:fldChar w:fldCharType="separate"/>
    </w:r>
    <w:r>
      <w:t xml:space="preserve">ACTIVE </w:t>
    </w:r>
    <w:proofErr w:type="spellStart"/>
    <w:r>
      <w:t>43348095v1</w:t>
    </w:r>
    <w:proofErr w:type="spellEnd"/>
    <w:r>
      <w:fldChar w:fldCharType="end"/>
    </w:r>
    <w:r>
      <w:t xml:space="preserve"> </w:t>
    </w:r>
    <w:r>
      <w:fldChar w:fldCharType="begin"/>
    </w:r>
    <w:r>
      <w:instrText xml:space="preserve"> SAVEDATE \@ "MM/dd/yyyy" \* MERGEFORMAT </w:instrText>
    </w:r>
    <w:r>
      <w:fldChar w:fldCharType="separate"/>
    </w:r>
    <w:r>
      <w:rPr>
        <w:noProof/>
      </w:rPr>
      <w:t>11/21/2016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DocID"/>
    </w:pPr>
    <w:r>
      <w:fldChar w:fldCharType="begin"/>
    </w:r>
    <w:r>
      <w:instrText xml:space="preserve"> DOCPROPERTY "DocID" \* MERGEFORMAT </w:instrText>
    </w:r>
    <w:r>
      <w:fldChar w:fldCharType="separate"/>
    </w:r>
    <w:r>
      <w:t xml:space="preserve">ACTIVE </w:t>
    </w:r>
    <w:proofErr w:type="spellStart"/>
    <w:r>
      <w:t>43348095v1</w:t>
    </w:r>
    <w:proofErr w:type="spellEnd"/>
    <w:r>
      <w:fldChar w:fldCharType="end"/>
    </w:r>
    <w:r>
      <w:t xml:space="preserve"> </w:t>
    </w:r>
    <w:r>
      <w:fldChar w:fldCharType="begin"/>
    </w:r>
    <w:r>
      <w:instrText xml:space="preserve"> SAVEDATE \@ "MM/dd/yyyy" \* MERGEFORMAT </w:instrText>
    </w:r>
    <w:r>
      <w:fldChar w:fldCharType="separate"/>
    </w:r>
    <w:r>
      <w:rPr>
        <w:noProof/>
      </w:rPr>
      <w:t>11/21/2016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heme="minorHAnsi" w:hAnsiTheme="minorHAnsi"/>
        </w:rPr>
      </w:pPr>
      <w:r>
        <w:rPr>
          <w:rFonts w:asciiTheme="minorHAnsi" w:hAnsiTheme="minorHAnsi"/>
        </w:rPr>
        <w:separator/>
      </w:r>
    </w:p>
  </w:footnote>
  <w:footnote w:type="continuationSeparator" w:id="0">
    <w:p>
      <w:pPr>
        <w:rPr>
          <w:rFonts w:asciiTheme="minorHAnsi" w:hAnsiTheme="minorHAnsi"/>
        </w:rPr>
      </w:pPr>
      <w:r>
        <w:rPr>
          <w:rFonts w:asciiTheme="minorHAnsi" w:hAnsiTheme="minorHAnsi"/>
        </w:rPr>
        <w:continuationSeparator/>
      </w:r>
    </w:p>
  </w:footnote>
  <w:footnote w:id="1">
    <w:p>
      <w:pPr>
        <w:pStyle w:val="FootnoteText"/>
      </w:pPr>
      <w:r>
        <w:rPr>
          <w:rStyle w:val="FootnoteReference"/>
        </w:rPr>
        <w:footnoteRef/>
      </w:r>
      <w:r>
        <w:t xml:space="preserve"> Gerald E. </w:t>
      </w:r>
      <w:proofErr w:type="spellStart"/>
      <w:r>
        <w:t>Arth</w:t>
      </w:r>
      <w:proofErr w:type="spellEnd"/>
      <w:r>
        <w:t xml:space="preserve"> is a partner in the Philadelphia, Pennsylvania office of the national law firm Fox Rothschild LLP.  Steven J. </w:t>
      </w:r>
      <w:proofErr w:type="spellStart"/>
      <w:r>
        <w:t>Daroci</w:t>
      </w:r>
      <w:proofErr w:type="spellEnd"/>
      <w:r>
        <w:t xml:space="preserve"> is an associate in Fox Rothschild’s Princeton, New Jersey office.</w:t>
      </w:r>
    </w:p>
  </w:footnote>
  <w:footnote w:id="2">
    <w:p>
      <w:pPr>
        <w:pStyle w:val="FootnoteText"/>
      </w:pPr>
      <w:r>
        <w:rPr>
          <w:rStyle w:val="FootnoteReference"/>
        </w:rPr>
        <w:footnoteRef/>
      </w:r>
      <w:r>
        <w:t xml:space="preserve"> </w:t>
      </w:r>
      <w:r>
        <w:rPr>
          <w:i/>
        </w:rPr>
        <w:t>See</w:t>
      </w:r>
      <w:r>
        <w:t xml:space="preserve"> 15 </w:t>
      </w:r>
      <w:proofErr w:type="spellStart"/>
      <w:r>
        <w:t>U.S.C</w:t>
      </w:r>
      <w:proofErr w:type="spellEnd"/>
      <w:r>
        <w:t>. §§ 7701-7713 (2003).</w:t>
      </w:r>
    </w:p>
  </w:footnote>
  <w:footnote w:id="3">
    <w:p>
      <w:pPr>
        <w:pStyle w:val="FootnoteText"/>
      </w:pPr>
      <w:r>
        <w:rPr>
          <w:rStyle w:val="FootnoteReference"/>
        </w:rPr>
        <w:footnoteRef/>
      </w:r>
      <w:r>
        <w:t xml:space="preserve"> </w:t>
      </w:r>
      <w:r>
        <w:rPr>
          <w:rStyle w:val="apple-converted-space"/>
          <w:rFonts w:ascii="Trebuchet MS" w:hAnsi="Trebuchet MS"/>
          <w:color w:val="000000"/>
        </w:rPr>
        <w:t> </w:t>
      </w:r>
      <w:r>
        <w:rPr>
          <w:rFonts w:asciiTheme="majorHAnsi" w:hAnsiTheme="majorHAnsi" w:cstheme="majorHAnsi"/>
        </w:rPr>
        <w:t xml:space="preserve">Veronique </w:t>
      </w:r>
      <w:proofErr w:type="spellStart"/>
      <w:r>
        <w:rPr>
          <w:rFonts w:asciiTheme="majorHAnsi" w:hAnsiTheme="majorHAnsi" w:cstheme="majorHAnsi"/>
        </w:rPr>
        <w:t>Tu</w:t>
      </w:r>
      <w:proofErr w:type="spellEnd"/>
      <w:r>
        <w:rPr>
          <w:rFonts w:asciiTheme="majorHAnsi" w:hAnsiTheme="majorHAnsi" w:cstheme="majorHAnsi"/>
        </w:rPr>
        <w:t>, Christine M. Reilly and Michael Mallow; “</w:t>
      </w:r>
      <w:r>
        <w:rPr>
          <w:rFonts w:asciiTheme="majorHAnsi" w:hAnsiTheme="majorHAnsi" w:cstheme="majorHAnsi"/>
          <w:iCs/>
          <w:shd w:val="clear" w:color="auto" w:fill="FFFFFF"/>
        </w:rPr>
        <w:t xml:space="preserve">They’re Here: The FCC’s New Regulations Under the </w:t>
      </w:r>
      <w:proofErr w:type="spellStart"/>
      <w:r>
        <w:rPr>
          <w:rFonts w:asciiTheme="majorHAnsi" w:hAnsiTheme="majorHAnsi" w:cstheme="majorHAnsi"/>
          <w:iCs/>
          <w:shd w:val="clear" w:color="auto" w:fill="FFFFFF"/>
        </w:rPr>
        <w:t>TCPA</w:t>
      </w:r>
      <w:proofErr w:type="spellEnd"/>
      <w:r>
        <w:rPr>
          <w:rFonts w:asciiTheme="majorHAnsi" w:hAnsiTheme="majorHAnsi" w:cstheme="majorHAnsi"/>
          <w:iCs/>
          <w:shd w:val="clear" w:color="auto" w:fill="FFFFFF"/>
        </w:rPr>
        <w:t xml:space="preserve"> - Now What?</w:t>
      </w:r>
      <w:proofErr w:type="gramStart"/>
      <w:r>
        <w:rPr>
          <w:rFonts w:asciiTheme="majorHAnsi" w:hAnsiTheme="majorHAnsi" w:cstheme="majorHAnsi"/>
          <w:iCs/>
          <w:shd w:val="clear" w:color="auto" w:fill="FFFFFF"/>
        </w:rPr>
        <w:t>”;</w:t>
      </w:r>
      <w:proofErr w:type="gramEnd"/>
      <w:r>
        <w:rPr>
          <w:rFonts w:asciiTheme="majorHAnsi" w:hAnsiTheme="majorHAnsi" w:cstheme="majorHAnsi"/>
        </w:rPr>
        <w:t xml:space="preserve"> Association of Corporate Counsel; </w:t>
      </w:r>
      <w:r>
        <w:rPr>
          <w:rFonts w:asciiTheme="majorHAnsi" w:hAnsiTheme="majorHAnsi" w:cstheme="majorHAnsi"/>
          <w:iCs/>
          <w:shd w:val="clear" w:color="auto" w:fill="FFFFFF"/>
        </w:rPr>
        <w:t>http://www.acc.com/accdocket/onlineexclusives/tcpa.cfm.</w:t>
      </w:r>
    </w:p>
  </w:footnote>
  <w:footnote w:id="4">
    <w:p>
      <w:pPr>
        <w:pStyle w:val="FootnoteText"/>
        <w:rPr>
          <w:b/>
        </w:rPr>
      </w:pPr>
      <w:r>
        <w:rPr>
          <w:rStyle w:val="FootnoteReference"/>
        </w:rPr>
        <w:footnoteRef/>
      </w:r>
      <w:r>
        <w:t xml:space="preserve"> </w:t>
      </w:r>
      <w:proofErr w:type="gramStart"/>
      <w:r>
        <w:t xml:space="preserve">15 </w:t>
      </w:r>
      <w:proofErr w:type="spellStart"/>
      <w:r>
        <w:t>U.S.C</w:t>
      </w:r>
      <w:proofErr w:type="spellEnd"/>
      <w:r>
        <w:t xml:space="preserve">. §§ 7001, </w:t>
      </w:r>
      <w:r>
        <w:rPr>
          <w:i/>
        </w:rPr>
        <w:t xml:space="preserve">et seq. </w:t>
      </w:r>
      <w:r>
        <w:t>(2000).</w:t>
      </w:r>
      <w:proofErr w:type="gramEnd"/>
    </w:p>
  </w:footnote>
  <w:footnote w:id="5">
    <w:p>
      <w:pPr>
        <w:pStyle w:val="FootnoteText"/>
      </w:pPr>
      <w:r>
        <w:rPr>
          <w:rStyle w:val="FootnoteReference"/>
        </w:rPr>
        <w:footnoteRef/>
      </w:r>
      <w:r>
        <w:t xml:space="preserve"> </w:t>
      </w:r>
      <w:proofErr w:type="gramStart"/>
      <w:r>
        <w:t>136 S. Ct. 1540 (2016).</w:t>
      </w:r>
      <w:proofErr w:type="gramEnd"/>
    </w:p>
  </w:footnote>
  <w:footnote w:id="6">
    <w:p>
      <w:pPr>
        <w:pStyle w:val="FootnoteText"/>
      </w:pPr>
      <w:r>
        <w:rPr>
          <w:rStyle w:val="FootnoteReference"/>
        </w:rPr>
        <w:footnoteRef/>
      </w:r>
      <w:r>
        <w:t xml:space="preserve"> Andrew J. </w:t>
      </w:r>
      <w:proofErr w:type="spellStart"/>
      <w:r>
        <w:t>Pincus</w:t>
      </w:r>
      <w:proofErr w:type="spellEnd"/>
      <w:r>
        <w:t xml:space="preserve">, </w:t>
      </w:r>
      <w:proofErr w:type="spellStart"/>
      <w:r>
        <w:t>Archis</w:t>
      </w:r>
      <w:proofErr w:type="spellEnd"/>
      <w:r>
        <w:t xml:space="preserve"> A. </w:t>
      </w:r>
      <w:proofErr w:type="spellStart"/>
      <w:r>
        <w:t>Parasharami</w:t>
      </w:r>
      <w:proofErr w:type="spellEnd"/>
      <w:r>
        <w:t xml:space="preserve"> and John </w:t>
      </w:r>
      <w:proofErr w:type="spellStart"/>
      <w:r>
        <w:t>Nadolenco</w:t>
      </w:r>
      <w:proofErr w:type="spellEnd"/>
      <w:r>
        <w:t xml:space="preserve">; “Supreme Court Holds in </w:t>
      </w:r>
      <w:proofErr w:type="spellStart"/>
      <w:r>
        <w:t>Spokeo</w:t>
      </w:r>
      <w:proofErr w:type="spellEnd"/>
      <w:r>
        <w:t xml:space="preserve"> that Plaintiffs Must Show ‘Real’ Harm to Have Standing to Sue for Statutory Damages”; May 16, 2016; https://www.classdefenseblog.com/2016/05/3824/</w:t>
      </w:r>
    </w:p>
  </w:footnote>
  <w:footnote w:id="7">
    <w:p>
      <w:pPr>
        <w:pStyle w:val="FootnoteText"/>
      </w:pPr>
      <w:r>
        <w:rPr>
          <w:rStyle w:val="FootnoteReference"/>
        </w:rPr>
        <w:footnoteRef/>
      </w:r>
      <w:r>
        <w:t xml:space="preserve"> </w:t>
      </w:r>
      <w:r>
        <w:rPr>
          <w:i/>
        </w:rPr>
        <w:t>Id.</w:t>
      </w:r>
    </w:p>
  </w:footnote>
  <w:footnote w:id="8">
    <w:p>
      <w:pPr>
        <w:pStyle w:val="FootnoteText"/>
      </w:pPr>
      <w:r>
        <w:rPr>
          <w:rStyle w:val="FootnoteReference"/>
        </w:rPr>
        <w:footnoteRef/>
      </w:r>
      <w:r>
        <w:t xml:space="preserve"> </w:t>
      </w:r>
      <w:r>
        <w:rPr>
          <w:i/>
        </w:rPr>
        <w:t>Id.</w:t>
      </w:r>
      <w:r>
        <w:t xml:space="preserve"> </w:t>
      </w:r>
    </w:p>
  </w:footnote>
  <w:footnote w:id="9">
    <w:p>
      <w:pPr>
        <w:pStyle w:val="FootnoteText"/>
      </w:pPr>
      <w:r>
        <w:rPr>
          <w:rStyle w:val="FootnoteReference"/>
        </w:rPr>
        <w:footnoteRef/>
      </w:r>
      <w:r>
        <w:t xml:space="preserve"> </w:t>
      </w:r>
      <w:proofErr w:type="gramStart"/>
      <w:r>
        <w:rPr>
          <w:i/>
        </w:rPr>
        <w:t>Campbell-Ewald v. Gomez</w:t>
      </w:r>
      <w:r>
        <w:t>, 136 S. Ct. 663 (2016).</w:t>
      </w:r>
      <w:proofErr w:type="gramEnd"/>
    </w:p>
  </w:footnote>
  <w:footnote w:id="10">
    <w:p>
      <w:pPr>
        <w:pStyle w:val="FootnoteText"/>
      </w:pPr>
      <w:r>
        <w:rPr>
          <w:rStyle w:val="FootnoteReference"/>
        </w:rPr>
        <w:footnoteRef/>
      </w:r>
      <w:r>
        <w:t xml:space="preserve"> </w:t>
      </w:r>
      <w:r>
        <w:rPr>
          <w:i/>
        </w:rPr>
        <w:t>ACA Int’l v. FCC</w:t>
      </w:r>
      <w:r>
        <w:t>, No. 15-1211 (D.C. Cir.).</w:t>
      </w:r>
    </w:p>
  </w:footnote>
  <w:footnote w:id="11">
    <w:p>
      <w:pPr>
        <w:pStyle w:val="FootnoteText"/>
      </w:pPr>
      <w:r>
        <w:rPr>
          <w:rStyle w:val="FootnoteReference"/>
        </w:rPr>
        <w:footnoteRef/>
      </w:r>
      <w:r>
        <w:t xml:space="preserve"> </w:t>
      </w:r>
      <w:r>
        <w:rPr>
          <w:rFonts w:asciiTheme="majorHAnsi" w:hAnsiTheme="majorHAnsi" w:cstheme="majorHAnsi"/>
          <w:bCs/>
        </w:rPr>
        <w:t xml:space="preserve">Bradley M. </w:t>
      </w:r>
      <w:proofErr w:type="spellStart"/>
      <w:r>
        <w:rPr>
          <w:rFonts w:asciiTheme="majorHAnsi" w:hAnsiTheme="majorHAnsi" w:cstheme="majorHAnsi"/>
          <w:bCs/>
        </w:rPr>
        <w:t>Baglien</w:t>
      </w:r>
      <w:proofErr w:type="spellEnd"/>
      <w:r>
        <w:rPr>
          <w:rFonts w:asciiTheme="majorHAnsi" w:hAnsiTheme="majorHAnsi" w:cstheme="majorHAnsi"/>
          <w:bCs/>
        </w:rPr>
        <w:t xml:space="preserve">, Heather Zachary and D. Reed Freeman Jr.; </w:t>
      </w:r>
      <w:r>
        <w:rPr>
          <w:rFonts w:asciiTheme="majorHAnsi" w:hAnsiTheme="majorHAnsi" w:cstheme="majorHAnsi"/>
        </w:rPr>
        <w:t>“</w:t>
      </w:r>
      <w:proofErr w:type="spellStart"/>
      <w:r>
        <w:rPr>
          <w:rFonts w:asciiTheme="majorHAnsi" w:hAnsiTheme="majorHAnsi" w:cstheme="majorHAnsi"/>
        </w:rPr>
        <w:t>TCPA</w:t>
      </w:r>
      <w:proofErr w:type="spellEnd"/>
      <w:r>
        <w:rPr>
          <w:rFonts w:asciiTheme="majorHAnsi" w:hAnsiTheme="majorHAnsi" w:cstheme="majorHAnsi"/>
        </w:rPr>
        <w:t xml:space="preserve"> Do’s and Don’ts: Lessons Learned </w:t>
      </w:r>
      <w:proofErr w:type="gramStart"/>
      <w:r>
        <w:rPr>
          <w:rFonts w:asciiTheme="majorHAnsi" w:hAnsiTheme="majorHAnsi" w:cstheme="majorHAnsi"/>
        </w:rPr>
        <w:t>From</w:t>
      </w:r>
      <w:proofErr w:type="gramEnd"/>
      <w:r>
        <w:rPr>
          <w:rFonts w:asciiTheme="majorHAnsi" w:hAnsiTheme="majorHAnsi" w:cstheme="majorHAnsi"/>
        </w:rPr>
        <w:t xml:space="preserve"> the Recent Litigation Wave and FCC Order”’ July 2, 2015; http://www.bna.com/tcpa-dos-donts-n17179929013/.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CAD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7B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5C90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F68A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A438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E46A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6E21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D80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983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80C3E8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9693B7A"/>
    <w:multiLevelType w:val="hybridMultilevel"/>
    <w:tmpl w:val="17D2131A"/>
    <w:lvl w:ilvl="0" w:tplc="EEA27930">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C1C4313"/>
    <w:multiLevelType w:val="hybridMultilevel"/>
    <w:tmpl w:val="145EC4EC"/>
    <w:lvl w:ilvl="0" w:tplc="B3B6F2F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07BCB"/>
    <w:multiLevelType w:val="multilevel"/>
    <w:tmpl w:val="DD16290A"/>
    <w:name w:val="General Numbering (1a)"/>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decimal"/>
      <w:pStyle w:val="Heading4"/>
      <w:lvlText w:val="(%4)"/>
      <w:lvlJc w:val="left"/>
      <w:pPr>
        <w:tabs>
          <w:tab w:val="num" w:pos="3600"/>
        </w:tabs>
        <w:ind w:left="0" w:firstLine="2880"/>
      </w:pPr>
      <w:rPr>
        <w:caps w:val="0"/>
        <w:color w:val="010000"/>
        <w:u w:val="none"/>
      </w:rPr>
    </w:lvl>
    <w:lvl w:ilvl="4">
      <w:start w:val="1"/>
      <w:numFmt w:val="lowerLetter"/>
      <w:pStyle w:val="Heading5"/>
      <w:lvlText w:val="%5."/>
      <w:lvlJc w:val="left"/>
      <w:pPr>
        <w:tabs>
          <w:tab w:val="num" w:pos="4320"/>
        </w:tabs>
        <w:ind w:left="0" w:firstLine="3600"/>
      </w:pPr>
      <w:rPr>
        <w:caps w:val="0"/>
        <w:color w:val="010000"/>
        <w:u w:val="none"/>
      </w:rPr>
    </w:lvl>
    <w:lvl w:ilvl="5">
      <w:start w:val="1"/>
      <w:numFmt w:val="lowerRoman"/>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Letter"/>
      <w:pStyle w:val="Heading8"/>
      <w:lvlText w:val="%8)"/>
      <w:lvlJc w:val="left"/>
      <w:pPr>
        <w:tabs>
          <w:tab w:val="num" w:pos="6480"/>
        </w:tabs>
        <w:ind w:left="0" w:firstLine="5760"/>
      </w:pPr>
      <w:rPr>
        <w:caps w:val="0"/>
        <w:color w:val="010000"/>
        <w:u w:val="none"/>
      </w:rPr>
    </w:lvl>
    <w:lvl w:ilvl="8">
      <w:start w:val="1"/>
      <w:numFmt w:val="lowerRoman"/>
      <w:pStyle w:val="Heading9"/>
      <w:lvlText w:val="%9)"/>
      <w:lvlJc w:val="left"/>
      <w:pPr>
        <w:tabs>
          <w:tab w:val="num" w:pos="7200"/>
        </w:tabs>
        <w:ind w:left="0" w:firstLine="6480"/>
      </w:pPr>
      <w:rPr>
        <w:caps w:val="0"/>
        <w:color w:val="010000"/>
        <w:u w:val="none"/>
      </w:rPr>
    </w:lvl>
  </w:abstractNum>
  <w:abstractNum w:abstractNumId="13">
    <w:nsid w:val="22B94A12"/>
    <w:multiLevelType w:val="hybridMultilevel"/>
    <w:tmpl w:val="C13E0C7E"/>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nsid w:val="22E201F5"/>
    <w:multiLevelType w:val="hybridMultilevel"/>
    <w:tmpl w:val="AA9830F4"/>
    <w:lvl w:ilvl="0" w:tplc="29E8133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D505C2"/>
    <w:multiLevelType w:val="multilevel"/>
    <w:tmpl w:val="0AFCC6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DA31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2CB5961"/>
    <w:multiLevelType w:val="hybridMultilevel"/>
    <w:tmpl w:val="45F8B40E"/>
    <w:lvl w:ilvl="0" w:tplc="AAF4D902">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8836C0"/>
    <w:multiLevelType w:val="hybridMultilevel"/>
    <w:tmpl w:val="32C4DBDE"/>
    <w:lvl w:ilvl="0" w:tplc="AAF4D902">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BD5B60"/>
    <w:multiLevelType w:val="hybridMultilevel"/>
    <w:tmpl w:val="2EAABDA6"/>
    <w:lvl w:ilvl="0" w:tplc="BE541D6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024742"/>
    <w:multiLevelType w:val="hybridMultilevel"/>
    <w:tmpl w:val="DF44DA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48E823A2"/>
    <w:multiLevelType w:val="hybridMultilevel"/>
    <w:tmpl w:val="93CEB16C"/>
    <w:lvl w:ilvl="0" w:tplc="EEA279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65CD7"/>
    <w:multiLevelType w:val="hybridMultilevel"/>
    <w:tmpl w:val="E45C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EE61438"/>
    <w:multiLevelType w:val="hybridMultilevel"/>
    <w:tmpl w:val="C0D4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3325F"/>
    <w:multiLevelType w:val="hybridMultilevel"/>
    <w:tmpl w:val="6ACA3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DE740FF"/>
    <w:multiLevelType w:val="hybridMultilevel"/>
    <w:tmpl w:val="882EBF16"/>
    <w:lvl w:ilvl="0" w:tplc="AAF4D902">
      <w:start w:val="1"/>
      <w:numFmt w:val="bullet"/>
      <w:lvlRestart w:val="0"/>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nsid w:val="64100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EE06DF"/>
    <w:multiLevelType w:val="hybridMultilevel"/>
    <w:tmpl w:val="8556A8A2"/>
    <w:lvl w:ilvl="0" w:tplc="AAF4D902">
      <w:start w:val="1"/>
      <w:numFmt w:val="bullet"/>
      <w:lvlRestart w:val="0"/>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8">
    <w:nsid w:val="747E62AB"/>
    <w:multiLevelType w:val="hybridMultilevel"/>
    <w:tmpl w:val="2C0E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00F37"/>
    <w:multiLevelType w:val="multilevel"/>
    <w:tmpl w:val="DD1893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BAD7C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1"/>
    <w:lvlOverride w:ilvl="0">
      <w:startOverride w:val="1"/>
    </w:lvlOverride>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30"/>
  </w:num>
  <w:num w:numId="16">
    <w:abstractNumId w:val="16"/>
  </w:num>
  <w:num w:numId="17">
    <w:abstractNumId w:val="9"/>
  </w:num>
  <w:num w:numId="18">
    <w:abstractNumId w:val="9"/>
  </w:num>
  <w:num w:numId="19">
    <w:abstractNumId w:val="12"/>
  </w:num>
  <w:num w:numId="20">
    <w:abstractNumId w:val="14"/>
  </w:num>
  <w:num w:numId="21">
    <w:abstractNumId w:val="19"/>
  </w:num>
  <w:num w:numId="22">
    <w:abstractNumId w:val="28"/>
  </w:num>
  <w:num w:numId="23">
    <w:abstractNumId w:val="23"/>
  </w:num>
  <w:num w:numId="24">
    <w:abstractNumId w:val="13"/>
  </w:num>
  <w:num w:numId="25">
    <w:abstractNumId w:val="22"/>
  </w:num>
  <w:num w:numId="26">
    <w:abstractNumId w:val="24"/>
  </w:num>
  <w:num w:numId="27">
    <w:abstractNumId w:val="15"/>
  </w:num>
  <w:num w:numId="28">
    <w:abstractNumId w:val="20"/>
  </w:num>
  <w:num w:numId="29">
    <w:abstractNumId w:val="27"/>
  </w:num>
  <w:num w:numId="30">
    <w:abstractNumId w:val="25"/>
  </w:num>
  <w:num w:numId="31">
    <w:abstractNumId w:val="18"/>
  </w:num>
  <w:num w:numId="32">
    <w:abstractNumId w:val="17"/>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True"/>
    <w:docVar w:name="DocIDLibrary" w:val="True"/>
    <w:docVar w:name="DocIDTime" w:val="False"/>
    <w:docVar w:name="DocIDType" w:val="AllPages"/>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lsdException w:name="Intense Reference" w:semiHidden="0"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240"/>
    </w:pPr>
    <w:rPr>
      <w:rFonts w:eastAsia="Times New Roman" w:cs="Times New Roman"/>
    </w:rPr>
  </w:style>
  <w:style w:type="paragraph" w:styleId="Heading1">
    <w:name w:val="heading 1"/>
    <w:basedOn w:val="Normal"/>
    <w:next w:val="Normal"/>
    <w:link w:val="Heading1Char"/>
    <w:qFormat/>
    <w:pPr>
      <w:numPr>
        <w:numId w:val="19"/>
      </w:numPr>
      <w:jc w:val="both"/>
      <w:outlineLvl w:val="0"/>
    </w:pPr>
    <w:rPr>
      <w:color w:val="000000"/>
      <w:szCs w:val="32"/>
    </w:rPr>
  </w:style>
  <w:style w:type="paragraph" w:styleId="Heading2">
    <w:name w:val="heading 2"/>
    <w:basedOn w:val="Normal"/>
    <w:next w:val="Normal"/>
    <w:link w:val="Heading2Char"/>
    <w:qFormat/>
    <w:pPr>
      <w:numPr>
        <w:ilvl w:val="1"/>
        <w:numId w:val="19"/>
      </w:numPr>
      <w:jc w:val="both"/>
      <w:outlineLvl w:val="1"/>
    </w:pPr>
    <w:rPr>
      <w:color w:val="000000"/>
      <w:szCs w:val="28"/>
    </w:rPr>
  </w:style>
  <w:style w:type="paragraph" w:styleId="Heading3">
    <w:name w:val="heading 3"/>
    <w:basedOn w:val="Normal"/>
    <w:next w:val="Normal"/>
    <w:link w:val="Heading3Char"/>
    <w:qFormat/>
    <w:pPr>
      <w:numPr>
        <w:ilvl w:val="2"/>
        <w:numId w:val="19"/>
      </w:numPr>
      <w:jc w:val="both"/>
      <w:outlineLvl w:val="2"/>
    </w:pPr>
    <w:rPr>
      <w:color w:val="000000"/>
      <w:szCs w:val="26"/>
    </w:rPr>
  </w:style>
  <w:style w:type="paragraph" w:styleId="Heading4">
    <w:name w:val="heading 4"/>
    <w:basedOn w:val="Normal"/>
    <w:next w:val="Normal"/>
    <w:link w:val="Heading4Char"/>
    <w:qFormat/>
    <w:pPr>
      <w:numPr>
        <w:ilvl w:val="3"/>
        <w:numId w:val="19"/>
      </w:numPr>
      <w:jc w:val="both"/>
      <w:outlineLvl w:val="3"/>
    </w:pPr>
    <w:rPr>
      <w:color w:val="000000"/>
      <w:szCs w:val="28"/>
    </w:rPr>
  </w:style>
  <w:style w:type="paragraph" w:styleId="Heading5">
    <w:name w:val="heading 5"/>
    <w:basedOn w:val="Normal"/>
    <w:next w:val="Normal"/>
    <w:link w:val="Heading5Char"/>
    <w:qFormat/>
    <w:pPr>
      <w:numPr>
        <w:ilvl w:val="4"/>
        <w:numId w:val="19"/>
      </w:numPr>
      <w:jc w:val="both"/>
      <w:outlineLvl w:val="4"/>
    </w:pPr>
    <w:rPr>
      <w:color w:val="000000"/>
      <w:szCs w:val="26"/>
    </w:rPr>
  </w:style>
  <w:style w:type="paragraph" w:styleId="Heading6">
    <w:name w:val="heading 6"/>
    <w:basedOn w:val="Normal"/>
    <w:next w:val="Normal"/>
    <w:link w:val="Heading6Char"/>
    <w:uiPriority w:val="9"/>
    <w:qFormat/>
    <w:pPr>
      <w:numPr>
        <w:ilvl w:val="5"/>
        <w:numId w:val="19"/>
      </w:numPr>
      <w:jc w:val="both"/>
      <w:outlineLvl w:val="5"/>
    </w:pPr>
    <w:rPr>
      <w:color w:val="000000"/>
      <w:szCs w:val="22"/>
    </w:rPr>
  </w:style>
  <w:style w:type="paragraph" w:styleId="Heading7">
    <w:name w:val="heading 7"/>
    <w:basedOn w:val="Normal"/>
    <w:next w:val="Normal"/>
    <w:link w:val="Heading7Char"/>
    <w:qFormat/>
    <w:pPr>
      <w:numPr>
        <w:ilvl w:val="6"/>
        <w:numId w:val="19"/>
      </w:numPr>
      <w:jc w:val="both"/>
      <w:outlineLvl w:val="6"/>
    </w:pPr>
    <w:rPr>
      <w:color w:val="000000"/>
    </w:rPr>
  </w:style>
  <w:style w:type="paragraph" w:styleId="Heading8">
    <w:name w:val="heading 8"/>
    <w:basedOn w:val="Normal"/>
    <w:next w:val="Normal"/>
    <w:link w:val="Heading8Char"/>
    <w:qFormat/>
    <w:pPr>
      <w:numPr>
        <w:ilvl w:val="7"/>
        <w:numId w:val="19"/>
      </w:numPr>
      <w:jc w:val="both"/>
      <w:outlineLvl w:val="7"/>
    </w:pPr>
    <w:rPr>
      <w:color w:val="000000"/>
    </w:rPr>
  </w:style>
  <w:style w:type="paragraph" w:styleId="Heading9">
    <w:name w:val="heading 9"/>
    <w:basedOn w:val="Normal"/>
    <w:next w:val="Normal"/>
    <w:link w:val="Heading9Char"/>
    <w:qFormat/>
    <w:pPr>
      <w:numPr>
        <w:ilvl w:val="8"/>
        <w:numId w:val="19"/>
      </w:numPr>
      <w:jc w:val="both"/>
      <w:outlineLvl w:val="8"/>
    </w:pPr>
    <w:rPr>
      <w:color w:val="00000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rPr>
  </w:style>
  <w:style w:type="paragraph" w:customStyle="1" w:styleId="DocID">
    <w:name w:val="DocID"/>
    <w:basedOn w:val="Footer"/>
    <w:next w:val="Footer"/>
    <w:link w:val="DocIDChar"/>
    <w:pPr>
      <w:shd w:val="clear" w:color="auto" w:fill="FFFFFF"/>
      <w:tabs>
        <w:tab w:val="clear" w:pos="4680"/>
        <w:tab w:val="clear" w:pos="9360"/>
      </w:tabs>
      <w:spacing w:after="0"/>
    </w:pPr>
    <w:rPr>
      <w:sz w:val="18"/>
      <w:szCs w:val="20"/>
    </w:rPr>
  </w:style>
  <w:style w:type="character" w:customStyle="1" w:styleId="Heading1Char">
    <w:name w:val="Heading 1 Char"/>
    <w:basedOn w:val="DefaultParagraphFont"/>
    <w:link w:val="Heading1"/>
    <w:rPr>
      <w:rFonts w:eastAsia="Times New Roman" w:cs="Times New Roman"/>
      <w:color w:val="000000"/>
      <w:szCs w:val="32"/>
    </w:rPr>
  </w:style>
  <w:style w:type="paragraph" w:styleId="EndnoteText">
    <w:name w:val="endnote text"/>
    <w:basedOn w:val="Normal"/>
    <w:next w:val="EndnoteTextMore"/>
    <w:link w:val="EndnoteTextChar"/>
    <w:semiHidden/>
    <w:pPr>
      <w:ind w:left="720" w:hanging="720"/>
    </w:pPr>
    <w:rPr>
      <w:szCs w:val="20"/>
    </w:rPr>
  </w:style>
  <w:style w:type="character" w:customStyle="1" w:styleId="EndnoteTextChar">
    <w:name w:val="Endnote Text Char"/>
    <w:basedOn w:val="DefaultParagraphFont"/>
    <w:link w:val="EndnoteText"/>
    <w:semiHidden/>
    <w:rPr>
      <w:rFonts w:eastAsia="Times New Roman" w:cs="Times New Roman"/>
      <w:szCs w:val="20"/>
    </w:rPr>
  </w:style>
  <w:style w:type="paragraph" w:styleId="FootnoteText">
    <w:name w:val="footnote text"/>
    <w:basedOn w:val="Normal"/>
    <w:next w:val="FootnoteTextMore"/>
    <w:link w:val="FootnoteTextChar"/>
    <w:pPr>
      <w:spacing w:after="200"/>
    </w:pPr>
    <w:rPr>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paragraph" w:customStyle="1" w:styleId="EndnoteTextMore">
    <w:name w:val="Endnote Text More"/>
    <w:basedOn w:val="Normal"/>
    <w:pPr>
      <w:ind w:left="720"/>
    </w:pPr>
  </w:style>
  <w:style w:type="paragraph" w:customStyle="1" w:styleId="FootnoteTextMore">
    <w:name w:val="Footnote Text More"/>
    <w:basedOn w:val="Normal"/>
    <w:pPr>
      <w:spacing w:after="200"/>
      <w:ind w:left="720"/>
    </w:pPr>
    <w:rPr>
      <w:sz w:val="20"/>
    </w:rPr>
  </w:style>
  <w:style w:type="character" w:customStyle="1" w:styleId="Heading2Char">
    <w:name w:val="Heading 2 Char"/>
    <w:basedOn w:val="DefaultParagraphFont"/>
    <w:link w:val="Heading2"/>
    <w:rPr>
      <w:rFonts w:eastAsia="Times New Roman" w:cs="Times New Roman"/>
      <w:color w:val="000000"/>
      <w:szCs w:val="28"/>
    </w:rPr>
  </w:style>
  <w:style w:type="character" w:customStyle="1" w:styleId="Heading3Char">
    <w:name w:val="Heading 3 Char"/>
    <w:basedOn w:val="DefaultParagraphFont"/>
    <w:link w:val="Heading3"/>
    <w:rPr>
      <w:rFonts w:eastAsia="Times New Roman" w:cs="Times New Roman"/>
      <w:color w:val="000000"/>
      <w:szCs w:val="26"/>
    </w:rPr>
  </w:style>
  <w:style w:type="character" w:customStyle="1" w:styleId="Heading4Char">
    <w:name w:val="Heading 4 Char"/>
    <w:basedOn w:val="DefaultParagraphFont"/>
    <w:link w:val="Heading4"/>
    <w:rPr>
      <w:rFonts w:eastAsia="Times New Roman" w:cs="Times New Roman"/>
      <w:color w:val="000000"/>
      <w:szCs w:val="28"/>
    </w:rPr>
  </w:style>
  <w:style w:type="character" w:customStyle="1" w:styleId="Heading5Char">
    <w:name w:val="Heading 5 Char"/>
    <w:basedOn w:val="DefaultParagraphFont"/>
    <w:link w:val="Heading5"/>
    <w:rPr>
      <w:rFonts w:eastAsia="Times New Roman" w:cs="Times New Roman"/>
      <w:color w:val="000000"/>
      <w:szCs w:val="26"/>
    </w:rPr>
  </w:style>
  <w:style w:type="character" w:customStyle="1" w:styleId="Heading6Char">
    <w:name w:val="Heading 6 Char"/>
    <w:basedOn w:val="DefaultParagraphFont"/>
    <w:link w:val="Heading6"/>
    <w:uiPriority w:val="9"/>
    <w:rPr>
      <w:rFonts w:eastAsia="Times New Roman" w:cs="Times New Roman"/>
      <w:color w:val="000000"/>
      <w:szCs w:val="22"/>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styleId="ListParagraph">
    <w:name w:val="List Paragraph"/>
    <w:basedOn w:val="Normal"/>
    <w:link w:val="ListParagraphChar"/>
    <w:uiPriority w:val="34"/>
    <w:unhideWhenUsed/>
    <w:qFormat/>
    <w:pPr>
      <w:ind w:left="720"/>
      <w:contextualSpacing/>
    </w:pPr>
  </w:style>
  <w:style w:type="paragraph" w:styleId="Closing">
    <w:name w:val="Closing"/>
    <w:basedOn w:val="Normal"/>
    <w:link w:val="ClosingChar"/>
    <w:uiPriority w:val="99"/>
    <w:semiHidden/>
    <w:unhideWhenUsed/>
    <w:pPr>
      <w:keepNext/>
      <w:spacing w:after="720"/>
      <w:ind w:left="5040"/>
    </w:pPr>
  </w:style>
  <w:style w:type="paragraph" w:styleId="NormalWeb">
    <w:name w:val="Normal (Web)"/>
    <w:basedOn w:val="Normal"/>
    <w:uiPriority w:val="99"/>
    <w:semiHidden/>
    <w:unhideWhenUsed/>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pPr>
      <w:spacing w:after="720"/>
      <w:jc w:val="center"/>
    </w:pPr>
  </w:style>
  <w:style w:type="character" w:customStyle="1" w:styleId="DateChar">
    <w:name w:val="Date Char"/>
    <w:basedOn w:val="DefaultParagraphFont"/>
    <w:link w:val="Date"/>
    <w:uiPriority w:val="99"/>
    <w:semiHidden/>
  </w:style>
  <w:style w:type="paragraph" w:styleId="Title">
    <w:name w:val="Title"/>
    <w:basedOn w:val="Normal"/>
    <w:link w:val="TitleChar"/>
    <w:qFormat/>
    <w:pPr>
      <w:keepNext/>
      <w:jc w:val="center"/>
    </w:pPr>
    <w:rPr>
      <w:rFonts w:cs="Arial"/>
      <w:b/>
      <w:bCs/>
      <w:caps/>
      <w:kern w:val="28"/>
      <w:szCs w:val="32"/>
    </w:rPr>
  </w:style>
  <w:style w:type="character" w:customStyle="1" w:styleId="TitleChar">
    <w:name w:val="Title Char"/>
    <w:basedOn w:val="DefaultParagraphFont"/>
    <w:link w:val="Title"/>
    <w:rPr>
      <w:rFonts w:ascii="Times New Roman" w:eastAsia="Times New Roman" w:hAnsi="Times New Roman" w:cs="Arial"/>
      <w:b/>
      <w:bCs/>
      <w:caps/>
      <w:kern w:val="28"/>
      <w:szCs w:val="32"/>
    </w:rPr>
  </w:style>
  <w:style w:type="paragraph" w:styleId="Subtitle">
    <w:name w:val="Subtitle"/>
    <w:basedOn w:val="Normal"/>
    <w:link w:val="SubtitleChar"/>
    <w:qFormat/>
    <w:pPr>
      <w:jc w:val="center"/>
      <w:outlineLvl w:val="1"/>
    </w:pPr>
    <w:rPr>
      <w:rFonts w:cs="Arial"/>
      <w:b/>
    </w:rPr>
  </w:style>
  <w:style w:type="character" w:customStyle="1" w:styleId="SubtitleChar">
    <w:name w:val="Subtitle Char"/>
    <w:basedOn w:val="DefaultParagraphFont"/>
    <w:link w:val="Subtitle"/>
    <w:rPr>
      <w:rFonts w:ascii="Times New Roman" w:eastAsia="Times New Roman" w:hAnsi="Times New Roman" w:cs="Arial"/>
      <w:b/>
    </w:rPr>
  </w:style>
  <w:style w:type="paragraph" w:styleId="TOC1">
    <w:name w:val="toc 1"/>
    <w:basedOn w:val="Normal"/>
    <w:next w:val="Normal"/>
    <w:autoRedefine/>
    <w:pPr>
      <w:tabs>
        <w:tab w:val="left" w:pos="720"/>
        <w:tab w:val="right" w:leader="dot" w:pos="9346"/>
      </w:tabs>
      <w:spacing w:before="240"/>
      <w:ind w:left="720" w:right="432" w:hanging="720"/>
    </w:pPr>
    <w:rPr>
      <w:noProof/>
    </w:rPr>
  </w:style>
  <w:style w:type="paragraph" w:styleId="TOC2">
    <w:name w:val="toc 2"/>
    <w:basedOn w:val="Normal"/>
    <w:next w:val="Normal"/>
    <w:autoRedefine/>
    <w:pPr>
      <w:tabs>
        <w:tab w:val="left" w:pos="1440"/>
        <w:tab w:val="right" w:leader="dot" w:pos="9346"/>
      </w:tabs>
      <w:spacing w:before="240"/>
      <w:ind w:left="1440" w:right="432" w:hanging="720"/>
    </w:pPr>
    <w:rPr>
      <w:noProof/>
    </w:rPr>
  </w:style>
  <w:style w:type="paragraph" w:styleId="TOC3">
    <w:name w:val="toc 3"/>
    <w:basedOn w:val="Normal"/>
    <w:next w:val="Normal"/>
    <w:autoRedefine/>
    <w:pPr>
      <w:tabs>
        <w:tab w:val="left" w:pos="2160"/>
        <w:tab w:val="right" w:leader="dot" w:pos="9346"/>
      </w:tabs>
      <w:spacing w:before="240"/>
      <w:ind w:left="2160" w:right="432" w:hanging="720"/>
    </w:pPr>
    <w:rPr>
      <w:noProof/>
    </w:rPr>
  </w:style>
  <w:style w:type="paragraph" w:styleId="TOC4">
    <w:name w:val="toc 4"/>
    <w:basedOn w:val="Normal"/>
    <w:next w:val="Normal"/>
    <w:autoRedefine/>
    <w:pPr>
      <w:tabs>
        <w:tab w:val="left" w:pos="2880"/>
        <w:tab w:val="right" w:leader="dot" w:pos="9346"/>
      </w:tabs>
      <w:ind w:left="2880" w:right="432" w:hanging="720"/>
    </w:pPr>
    <w:rPr>
      <w:noProof/>
    </w:rPr>
  </w:style>
  <w:style w:type="paragraph" w:styleId="TOC5">
    <w:name w:val="toc 5"/>
    <w:basedOn w:val="Normal"/>
    <w:next w:val="Normal"/>
    <w:autoRedefine/>
    <w:pPr>
      <w:tabs>
        <w:tab w:val="left" w:pos="3600"/>
        <w:tab w:val="right" w:leader="dot" w:pos="9346"/>
      </w:tabs>
      <w:ind w:left="3600" w:right="720" w:hanging="720"/>
    </w:pPr>
    <w:rPr>
      <w:noProof/>
    </w:rPr>
  </w:style>
  <w:style w:type="paragraph" w:styleId="TOC6">
    <w:name w:val="toc 6"/>
    <w:basedOn w:val="Normal"/>
    <w:next w:val="Normal"/>
    <w:autoRedefine/>
    <w:pPr>
      <w:tabs>
        <w:tab w:val="left" w:pos="4320"/>
        <w:tab w:val="right" w:leader="dot" w:pos="9346"/>
      </w:tabs>
      <w:ind w:left="4320" w:right="720" w:hanging="720"/>
    </w:pPr>
    <w:rPr>
      <w:noProof/>
    </w:rPr>
  </w:style>
  <w:style w:type="paragraph" w:styleId="TOC7">
    <w:name w:val="toc 7"/>
    <w:basedOn w:val="Normal"/>
    <w:next w:val="Normal"/>
    <w:autoRedefine/>
    <w:pPr>
      <w:tabs>
        <w:tab w:val="left" w:pos="5040"/>
        <w:tab w:val="right" w:leader="dot" w:pos="9346"/>
      </w:tabs>
      <w:ind w:left="5040" w:right="720" w:hanging="720"/>
    </w:pPr>
    <w:rPr>
      <w:noProof/>
    </w:rPr>
  </w:style>
  <w:style w:type="paragraph" w:styleId="TOC8">
    <w:name w:val="toc 8"/>
    <w:basedOn w:val="Normal"/>
    <w:next w:val="Normal"/>
    <w:autoRedefine/>
    <w:pPr>
      <w:tabs>
        <w:tab w:val="left" w:pos="5040"/>
        <w:tab w:val="right" w:leader="dot" w:pos="9346"/>
      </w:tabs>
      <w:ind w:left="5040" w:right="432" w:hanging="720"/>
    </w:pPr>
    <w:rPr>
      <w:noProof/>
    </w:rPr>
  </w:style>
  <w:style w:type="paragraph" w:styleId="TOC9">
    <w:name w:val="toc 9"/>
    <w:basedOn w:val="Normal"/>
    <w:next w:val="Normal"/>
    <w:autoRedefine/>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b/>
      <w:bCs/>
    </w:rPr>
  </w:style>
  <w:style w:type="table" w:customStyle="1" w:styleId="MediumGrid21">
    <w:name w:val="Medium Grid 21"/>
    <w:basedOn w:val="TableNormal"/>
    <w:uiPriority w:val="68"/>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Pr>
      <w:rFonts w:eastAsia="Times New Roman" w:cs="Times New Roman"/>
      <w:shd w:val="pct20" w:color="auto" w:fill="auto"/>
    </w:rPr>
  </w:style>
  <w:style w:type="paragraph" w:styleId="TOAHeading">
    <w:name w:val="toa heading"/>
    <w:basedOn w:val="Normal"/>
    <w:next w:val="Normal"/>
    <w:uiPriority w:val="99"/>
    <w:semiHidden/>
    <w:unhideWhenUsed/>
    <w:pPr>
      <w:spacing w:before="120"/>
    </w:pPr>
    <w:rPr>
      <w:b/>
      <w:bCs/>
    </w:rPr>
  </w:style>
  <w:style w:type="paragraph" w:styleId="TOCHeading">
    <w:name w:val="TOC Heading"/>
    <w:basedOn w:val="Normal"/>
    <w:next w:val="Normal"/>
    <w:uiPriority w:val="39"/>
    <w:semiHidden/>
    <w:unhideWhenUsed/>
    <w:qFormat/>
    <w:pPr>
      <w:jc w:val="center"/>
    </w:pPr>
    <w:rPr>
      <w:b/>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itleTOC">
    <w:name w:val="Title (TOC)"/>
    <w:basedOn w:val="Normal"/>
    <w:pPr>
      <w:keepNext/>
      <w:ind w:left="648" w:hanging="648"/>
      <w:jc w:val="center"/>
      <w:outlineLvl w:val="0"/>
    </w:pPr>
    <w:rPr>
      <w:b/>
    </w:rPr>
  </w:style>
  <w:style w:type="paragraph" w:customStyle="1" w:styleId="TitleL">
    <w:name w:val="Title L"/>
    <w:basedOn w:val="EndNote"/>
    <w:link w:val="TitleLChar"/>
    <w:pPr>
      <w:keepNext/>
      <w:ind w:left="0" w:firstLine="0"/>
    </w:pPr>
    <w:rPr>
      <w:b/>
    </w:rPr>
  </w:style>
  <w:style w:type="character" w:customStyle="1" w:styleId="TitleLChar">
    <w:name w:val="Title L Char"/>
    <w:basedOn w:val="DefaultParagraphFont"/>
    <w:link w:val="TitleL"/>
    <w:rPr>
      <w:rFonts w:eastAsia="Times New Roman" w:cs="Times New Roman"/>
      <w:b/>
    </w:rPr>
  </w:style>
  <w:style w:type="paragraph" w:customStyle="1" w:styleId="EndNote">
    <w:name w:val="End Note"/>
    <w:basedOn w:val="Normal"/>
    <w:pPr>
      <w:ind w:left="720" w:hanging="72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ListBullet">
    <w:name w:val="List Bullet"/>
    <w:basedOn w:val="Normal"/>
    <w:pPr>
      <w:numPr>
        <w:numId w:val="18"/>
      </w:numPr>
    </w:pPr>
  </w:style>
  <w:style w:type="character" w:styleId="PageNumber">
    <w:name w:val="page number"/>
    <w:basedOn w:val="DefaultParagraphFont"/>
  </w:style>
  <w:style w:type="paragraph" w:customStyle="1" w:styleId="1st05Dbl">
    <w:name w:val="1st0.5Dbl"/>
    <w:qFormat/>
    <w:pPr>
      <w:spacing w:line="480" w:lineRule="auto"/>
      <w:ind w:firstLine="720"/>
    </w:pPr>
    <w:rPr>
      <w:rFonts w:eastAsia="Calibri" w:cs="Times New Roman"/>
      <w:szCs w:val="22"/>
    </w:rPr>
  </w:style>
  <w:style w:type="paragraph" w:customStyle="1" w:styleId="1st05Sgl">
    <w:name w:val="1st0.5Sgl"/>
    <w:qFormat/>
    <w:pPr>
      <w:spacing w:after="240"/>
      <w:ind w:firstLine="720"/>
    </w:pPr>
    <w:rPr>
      <w:rFonts w:eastAsia="Calibri" w:cs="Times New Roman"/>
      <w:szCs w:val="22"/>
    </w:rPr>
  </w:style>
  <w:style w:type="paragraph" w:customStyle="1" w:styleId="1st10Dbl">
    <w:name w:val="1st1.0Dbl"/>
    <w:qFormat/>
    <w:pPr>
      <w:spacing w:line="480" w:lineRule="auto"/>
      <w:ind w:firstLine="1440"/>
    </w:pPr>
    <w:rPr>
      <w:rFonts w:eastAsia="Calibri" w:cs="Times New Roman"/>
      <w:szCs w:val="22"/>
    </w:rPr>
  </w:style>
  <w:style w:type="paragraph" w:customStyle="1" w:styleId="1st10Sgl">
    <w:name w:val="1st1.0Sgl"/>
    <w:qFormat/>
    <w:pPr>
      <w:spacing w:after="240"/>
      <w:ind w:firstLine="1440"/>
    </w:pPr>
    <w:rPr>
      <w:rFonts w:eastAsia="Calibri" w:cs="Times New Roman"/>
      <w:szCs w:val="22"/>
    </w:rPr>
  </w:style>
  <w:style w:type="paragraph" w:customStyle="1" w:styleId="AddressBlock">
    <w:name w:val="Address Block"/>
    <w:rPr>
      <w:rFonts w:eastAsia="Calibri" w:cs="Times New Roman"/>
      <w:szCs w:val="22"/>
    </w:rPr>
  </w:style>
  <w:style w:type="paragraph" w:customStyle="1" w:styleId="SigLn">
    <w:name w:val="SigLn"/>
    <w:next w:val="Normal"/>
    <w:qFormat/>
    <w:pPr>
      <w:tabs>
        <w:tab w:val="left" w:leader="underscore" w:pos="8640"/>
      </w:tabs>
      <w:ind w:left="4320"/>
    </w:pPr>
    <w:rPr>
      <w:rFonts w:eastAsia="Times New Roman" w:cs="Times New Roman"/>
      <w:bCs/>
      <w:kern w:val="32"/>
      <w:szCs w:val="32"/>
    </w:rPr>
  </w:style>
  <w:style w:type="paragraph" w:customStyle="1" w:styleId="SigNoLn">
    <w:name w:val="SigNoLn"/>
    <w:qFormat/>
    <w:pPr>
      <w:ind w:left="4320"/>
    </w:pPr>
    <w:rPr>
      <w:rFonts w:eastAsia="Times New Roman" w:cs="Times New Roman"/>
      <w:bCs/>
      <w:kern w:val="32"/>
      <w:szCs w:val="32"/>
    </w:rPr>
  </w:style>
  <w:style w:type="paragraph" w:customStyle="1" w:styleId="WITNESSETH">
    <w:name w:val="WITNESSETH"/>
    <w:qFormat/>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pPr>
      <w:spacing w:after="0"/>
    </w:pPr>
  </w:style>
  <w:style w:type="paragraph" w:styleId="Quote">
    <w:name w:val="Quote"/>
    <w:basedOn w:val="Normal"/>
    <w:next w:val="Normal"/>
    <w:link w:val="QuoteChar"/>
    <w:qFormat/>
    <w:pPr>
      <w:ind w:left="1440" w:right="1440"/>
    </w:pPr>
    <w:rPr>
      <w:iCs/>
    </w:rPr>
  </w:style>
  <w:style w:type="character" w:customStyle="1" w:styleId="QuoteChar">
    <w:name w:val="Quote Char"/>
    <w:basedOn w:val="DefaultParagraphFont"/>
    <w:link w:val="Quote"/>
    <w:rPr>
      <w:rFonts w:eastAsia="Times New Roman" w:cs="Times New Roman"/>
      <w:iCs/>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rPr>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tenseQuote">
    <w:name w:val="Intense Quote"/>
    <w:basedOn w:val="Normal"/>
    <w:next w:val="Normal"/>
    <w:link w:val="IntenseQuoteChar"/>
    <w:uiPriority w:val="99"/>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eastAsia="Times New Roman" w:cs="Times New Roman"/>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NoSpacing">
    <w:name w:val="No Spacing"/>
    <w:uiPriority w:val="99"/>
    <w:semiHidden/>
    <w:qFormat/>
    <w:rPr>
      <w:rFonts w:eastAsia="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character" w:customStyle="1" w:styleId="cohovertext">
    <w:name w:val="co_hovertext"/>
    <w:basedOn w:val="DefaultParagraphFont"/>
  </w:style>
  <w:style w:type="character" w:customStyle="1" w:styleId="apple-converted-space">
    <w:name w:val="apple-converted-space"/>
    <w:basedOn w:val="DefaultParagraphFont"/>
  </w:style>
  <w:style w:type="character" w:customStyle="1" w:styleId="cosearchterm">
    <w:name w:val="co_searchterm"/>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customStyle="1" w:styleId="costarpage">
    <w:name w:val="co_starpage"/>
    <w:basedOn w:val="DefaultParagraphFont"/>
  </w:style>
  <w:style w:type="character" w:styleId="Strong">
    <w:name w:val="Strong"/>
    <w:basedOn w:val="DefaultParagraphFont"/>
    <w:uiPriority w:val="22"/>
    <w:qFormat/>
    <w:rPr>
      <w:b/>
      <w:bCs/>
    </w:rPr>
  </w:style>
  <w:style w:type="character" w:customStyle="1" w:styleId="num">
    <w:name w:val="num"/>
    <w:basedOn w:val="DefaultParagraphFont"/>
  </w:style>
  <w:style w:type="character" w:customStyle="1" w:styleId="heading">
    <w:name w:val="heading"/>
    <w:basedOn w:val="DefaultParagraphFont"/>
  </w:style>
  <w:style w:type="character" w:customStyle="1" w:styleId="chapeau">
    <w:name w:val="chapeau"/>
    <w:basedOn w:val="DefaultParagraphFont"/>
  </w:style>
  <w:style w:type="character" w:customStyle="1" w:styleId="counderline">
    <w:name w:val="co_underline"/>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Pr>
      <w:rFonts w:eastAsia="Times New Roman" w:cs="Times New Roman"/>
    </w:rPr>
  </w:style>
  <w:style w:type="character" w:customStyle="1" w:styleId="DocIDChar">
    <w:name w:val="DocID Char"/>
    <w:basedOn w:val="ListParagraphChar"/>
    <w:link w:val="DocID"/>
    <w:rPr>
      <w:rFonts w:eastAsia="Times New Roman" w:cs="Times New Roman"/>
      <w:sz w:val="18"/>
      <w:szCs w:val="20"/>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lsdException w:name="Intense Reference" w:semiHidden="0"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240"/>
    </w:pPr>
    <w:rPr>
      <w:rFonts w:eastAsia="Times New Roman" w:cs="Times New Roman"/>
    </w:rPr>
  </w:style>
  <w:style w:type="paragraph" w:styleId="Heading1">
    <w:name w:val="heading 1"/>
    <w:basedOn w:val="Normal"/>
    <w:next w:val="Normal"/>
    <w:link w:val="Heading1Char"/>
    <w:qFormat/>
    <w:pPr>
      <w:numPr>
        <w:numId w:val="19"/>
      </w:numPr>
      <w:jc w:val="both"/>
      <w:outlineLvl w:val="0"/>
    </w:pPr>
    <w:rPr>
      <w:color w:val="000000"/>
      <w:szCs w:val="32"/>
    </w:rPr>
  </w:style>
  <w:style w:type="paragraph" w:styleId="Heading2">
    <w:name w:val="heading 2"/>
    <w:basedOn w:val="Normal"/>
    <w:next w:val="Normal"/>
    <w:link w:val="Heading2Char"/>
    <w:qFormat/>
    <w:pPr>
      <w:numPr>
        <w:ilvl w:val="1"/>
        <w:numId w:val="19"/>
      </w:numPr>
      <w:jc w:val="both"/>
      <w:outlineLvl w:val="1"/>
    </w:pPr>
    <w:rPr>
      <w:color w:val="000000"/>
      <w:szCs w:val="28"/>
    </w:rPr>
  </w:style>
  <w:style w:type="paragraph" w:styleId="Heading3">
    <w:name w:val="heading 3"/>
    <w:basedOn w:val="Normal"/>
    <w:next w:val="Normal"/>
    <w:link w:val="Heading3Char"/>
    <w:qFormat/>
    <w:pPr>
      <w:numPr>
        <w:ilvl w:val="2"/>
        <w:numId w:val="19"/>
      </w:numPr>
      <w:jc w:val="both"/>
      <w:outlineLvl w:val="2"/>
    </w:pPr>
    <w:rPr>
      <w:color w:val="000000"/>
      <w:szCs w:val="26"/>
    </w:rPr>
  </w:style>
  <w:style w:type="paragraph" w:styleId="Heading4">
    <w:name w:val="heading 4"/>
    <w:basedOn w:val="Normal"/>
    <w:next w:val="Normal"/>
    <w:link w:val="Heading4Char"/>
    <w:qFormat/>
    <w:pPr>
      <w:numPr>
        <w:ilvl w:val="3"/>
        <w:numId w:val="19"/>
      </w:numPr>
      <w:jc w:val="both"/>
      <w:outlineLvl w:val="3"/>
    </w:pPr>
    <w:rPr>
      <w:color w:val="000000"/>
      <w:szCs w:val="28"/>
    </w:rPr>
  </w:style>
  <w:style w:type="paragraph" w:styleId="Heading5">
    <w:name w:val="heading 5"/>
    <w:basedOn w:val="Normal"/>
    <w:next w:val="Normal"/>
    <w:link w:val="Heading5Char"/>
    <w:qFormat/>
    <w:pPr>
      <w:numPr>
        <w:ilvl w:val="4"/>
        <w:numId w:val="19"/>
      </w:numPr>
      <w:jc w:val="both"/>
      <w:outlineLvl w:val="4"/>
    </w:pPr>
    <w:rPr>
      <w:color w:val="000000"/>
      <w:szCs w:val="26"/>
    </w:rPr>
  </w:style>
  <w:style w:type="paragraph" w:styleId="Heading6">
    <w:name w:val="heading 6"/>
    <w:basedOn w:val="Normal"/>
    <w:next w:val="Normal"/>
    <w:link w:val="Heading6Char"/>
    <w:uiPriority w:val="9"/>
    <w:qFormat/>
    <w:pPr>
      <w:numPr>
        <w:ilvl w:val="5"/>
        <w:numId w:val="19"/>
      </w:numPr>
      <w:jc w:val="both"/>
      <w:outlineLvl w:val="5"/>
    </w:pPr>
    <w:rPr>
      <w:color w:val="000000"/>
      <w:szCs w:val="22"/>
    </w:rPr>
  </w:style>
  <w:style w:type="paragraph" w:styleId="Heading7">
    <w:name w:val="heading 7"/>
    <w:basedOn w:val="Normal"/>
    <w:next w:val="Normal"/>
    <w:link w:val="Heading7Char"/>
    <w:qFormat/>
    <w:pPr>
      <w:numPr>
        <w:ilvl w:val="6"/>
        <w:numId w:val="19"/>
      </w:numPr>
      <w:jc w:val="both"/>
      <w:outlineLvl w:val="6"/>
    </w:pPr>
    <w:rPr>
      <w:color w:val="000000"/>
    </w:rPr>
  </w:style>
  <w:style w:type="paragraph" w:styleId="Heading8">
    <w:name w:val="heading 8"/>
    <w:basedOn w:val="Normal"/>
    <w:next w:val="Normal"/>
    <w:link w:val="Heading8Char"/>
    <w:qFormat/>
    <w:pPr>
      <w:numPr>
        <w:ilvl w:val="7"/>
        <w:numId w:val="19"/>
      </w:numPr>
      <w:jc w:val="both"/>
      <w:outlineLvl w:val="7"/>
    </w:pPr>
    <w:rPr>
      <w:color w:val="000000"/>
    </w:rPr>
  </w:style>
  <w:style w:type="paragraph" w:styleId="Heading9">
    <w:name w:val="heading 9"/>
    <w:basedOn w:val="Normal"/>
    <w:next w:val="Normal"/>
    <w:link w:val="Heading9Char"/>
    <w:qFormat/>
    <w:pPr>
      <w:numPr>
        <w:ilvl w:val="8"/>
        <w:numId w:val="19"/>
      </w:numPr>
      <w:jc w:val="both"/>
      <w:outlineLvl w:val="8"/>
    </w:pPr>
    <w:rPr>
      <w:color w:val="00000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rPr>
  </w:style>
  <w:style w:type="paragraph" w:customStyle="1" w:styleId="DocID">
    <w:name w:val="DocID"/>
    <w:basedOn w:val="Footer"/>
    <w:next w:val="Footer"/>
    <w:link w:val="DocIDChar"/>
    <w:pPr>
      <w:shd w:val="clear" w:color="auto" w:fill="FFFFFF"/>
      <w:tabs>
        <w:tab w:val="clear" w:pos="4680"/>
        <w:tab w:val="clear" w:pos="9360"/>
      </w:tabs>
      <w:spacing w:after="0"/>
    </w:pPr>
    <w:rPr>
      <w:sz w:val="18"/>
      <w:szCs w:val="20"/>
    </w:rPr>
  </w:style>
  <w:style w:type="character" w:customStyle="1" w:styleId="Heading1Char">
    <w:name w:val="Heading 1 Char"/>
    <w:basedOn w:val="DefaultParagraphFont"/>
    <w:link w:val="Heading1"/>
    <w:rPr>
      <w:rFonts w:eastAsia="Times New Roman" w:cs="Times New Roman"/>
      <w:color w:val="000000"/>
      <w:szCs w:val="32"/>
    </w:rPr>
  </w:style>
  <w:style w:type="paragraph" w:styleId="EndnoteText">
    <w:name w:val="endnote text"/>
    <w:basedOn w:val="Normal"/>
    <w:next w:val="EndnoteTextMore"/>
    <w:link w:val="EndnoteTextChar"/>
    <w:semiHidden/>
    <w:pPr>
      <w:ind w:left="720" w:hanging="720"/>
    </w:pPr>
    <w:rPr>
      <w:szCs w:val="20"/>
    </w:rPr>
  </w:style>
  <w:style w:type="character" w:customStyle="1" w:styleId="EndnoteTextChar">
    <w:name w:val="Endnote Text Char"/>
    <w:basedOn w:val="DefaultParagraphFont"/>
    <w:link w:val="EndnoteText"/>
    <w:semiHidden/>
    <w:rPr>
      <w:rFonts w:eastAsia="Times New Roman" w:cs="Times New Roman"/>
      <w:szCs w:val="20"/>
    </w:rPr>
  </w:style>
  <w:style w:type="paragraph" w:styleId="FootnoteText">
    <w:name w:val="footnote text"/>
    <w:basedOn w:val="Normal"/>
    <w:next w:val="FootnoteTextMore"/>
    <w:link w:val="FootnoteTextChar"/>
    <w:pPr>
      <w:spacing w:after="200"/>
    </w:pPr>
    <w:rPr>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paragraph" w:customStyle="1" w:styleId="EndnoteTextMore">
    <w:name w:val="Endnote Text More"/>
    <w:basedOn w:val="Normal"/>
    <w:pPr>
      <w:ind w:left="720"/>
    </w:pPr>
  </w:style>
  <w:style w:type="paragraph" w:customStyle="1" w:styleId="FootnoteTextMore">
    <w:name w:val="Footnote Text More"/>
    <w:basedOn w:val="Normal"/>
    <w:pPr>
      <w:spacing w:after="200"/>
      <w:ind w:left="720"/>
    </w:pPr>
    <w:rPr>
      <w:sz w:val="20"/>
    </w:rPr>
  </w:style>
  <w:style w:type="character" w:customStyle="1" w:styleId="Heading2Char">
    <w:name w:val="Heading 2 Char"/>
    <w:basedOn w:val="DefaultParagraphFont"/>
    <w:link w:val="Heading2"/>
    <w:rPr>
      <w:rFonts w:eastAsia="Times New Roman" w:cs="Times New Roman"/>
      <w:color w:val="000000"/>
      <w:szCs w:val="28"/>
    </w:rPr>
  </w:style>
  <w:style w:type="character" w:customStyle="1" w:styleId="Heading3Char">
    <w:name w:val="Heading 3 Char"/>
    <w:basedOn w:val="DefaultParagraphFont"/>
    <w:link w:val="Heading3"/>
    <w:rPr>
      <w:rFonts w:eastAsia="Times New Roman" w:cs="Times New Roman"/>
      <w:color w:val="000000"/>
      <w:szCs w:val="26"/>
    </w:rPr>
  </w:style>
  <w:style w:type="character" w:customStyle="1" w:styleId="Heading4Char">
    <w:name w:val="Heading 4 Char"/>
    <w:basedOn w:val="DefaultParagraphFont"/>
    <w:link w:val="Heading4"/>
    <w:rPr>
      <w:rFonts w:eastAsia="Times New Roman" w:cs="Times New Roman"/>
      <w:color w:val="000000"/>
      <w:szCs w:val="28"/>
    </w:rPr>
  </w:style>
  <w:style w:type="character" w:customStyle="1" w:styleId="Heading5Char">
    <w:name w:val="Heading 5 Char"/>
    <w:basedOn w:val="DefaultParagraphFont"/>
    <w:link w:val="Heading5"/>
    <w:rPr>
      <w:rFonts w:eastAsia="Times New Roman" w:cs="Times New Roman"/>
      <w:color w:val="000000"/>
      <w:szCs w:val="26"/>
    </w:rPr>
  </w:style>
  <w:style w:type="character" w:customStyle="1" w:styleId="Heading6Char">
    <w:name w:val="Heading 6 Char"/>
    <w:basedOn w:val="DefaultParagraphFont"/>
    <w:link w:val="Heading6"/>
    <w:uiPriority w:val="9"/>
    <w:rPr>
      <w:rFonts w:eastAsia="Times New Roman" w:cs="Times New Roman"/>
      <w:color w:val="000000"/>
      <w:szCs w:val="22"/>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styleId="ListParagraph">
    <w:name w:val="List Paragraph"/>
    <w:basedOn w:val="Normal"/>
    <w:link w:val="ListParagraphChar"/>
    <w:uiPriority w:val="34"/>
    <w:unhideWhenUsed/>
    <w:qFormat/>
    <w:pPr>
      <w:ind w:left="720"/>
      <w:contextualSpacing/>
    </w:pPr>
  </w:style>
  <w:style w:type="paragraph" w:styleId="Closing">
    <w:name w:val="Closing"/>
    <w:basedOn w:val="Normal"/>
    <w:link w:val="ClosingChar"/>
    <w:uiPriority w:val="99"/>
    <w:semiHidden/>
    <w:unhideWhenUsed/>
    <w:pPr>
      <w:keepNext/>
      <w:spacing w:after="720"/>
      <w:ind w:left="5040"/>
    </w:pPr>
  </w:style>
  <w:style w:type="paragraph" w:styleId="NormalWeb">
    <w:name w:val="Normal (Web)"/>
    <w:basedOn w:val="Normal"/>
    <w:uiPriority w:val="99"/>
    <w:semiHidden/>
    <w:unhideWhenUsed/>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pPr>
      <w:spacing w:after="720"/>
      <w:jc w:val="center"/>
    </w:pPr>
  </w:style>
  <w:style w:type="character" w:customStyle="1" w:styleId="DateChar">
    <w:name w:val="Date Char"/>
    <w:basedOn w:val="DefaultParagraphFont"/>
    <w:link w:val="Date"/>
    <w:uiPriority w:val="99"/>
    <w:semiHidden/>
  </w:style>
  <w:style w:type="paragraph" w:styleId="Title">
    <w:name w:val="Title"/>
    <w:basedOn w:val="Normal"/>
    <w:link w:val="TitleChar"/>
    <w:qFormat/>
    <w:pPr>
      <w:keepNext/>
      <w:jc w:val="center"/>
    </w:pPr>
    <w:rPr>
      <w:rFonts w:cs="Arial"/>
      <w:b/>
      <w:bCs/>
      <w:caps/>
      <w:kern w:val="28"/>
      <w:szCs w:val="32"/>
    </w:rPr>
  </w:style>
  <w:style w:type="character" w:customStyle="1" w:styleId="TitleChar">
    <w:name w:val="Title Char"/>
    <w:basedOn w:val="DefaultParagraphFont"/>
    <w:link w:val="Title"/>
    <w:rPr>
      <w:rFonts w:ascii="Times New Roman" w:eastAsia="Times New Roman" w:hAnsi="Times New Roman" w:cs="Arial"/>
      <w:b/>
      <w:bCs/>
      <w:caps/>
      <w:kern w:val="28"/>
      <w:szCs w:val="32"/>
    </w:rPr>
  </w:style>
  <w:style w:type="paragraph" w:styleId="Subtitle">
    <w:name w:val="Subtitle"/>
    <w:basedOn w:val="Normal"/>
    <w:link w:val="SubtitleChar"/>
    <w:qFormat/>
    <w:pPr>
      <w:jc w:val="center"/>
      <w:outlineLvl w:val="1"/>
    </w:pPr>
    <w:rPr>
      <w:rFonts w:cs="Arial"/>
      <w:b/>
    </w:rPr>
  </w:style>
  <w:style w:type="character" w:customStyle="1" w:styleId="SubtitleChar">
    <w:name w:val="Subtitle Char"/>
    <w:basedOn w:val="DefaultParagraphFont"/>
    <w:link w:val="Subtitle"/>
    <w:rPr>
      <w:rFonts w:ascii="Times New Roman" w:eastAsia="Times New Roman" w:hAnsi="Times New Roman" w:cs="Arial"/>
      <w:b/>
    </w:rPr>
  </w:style>
  <w:style w:type="paragraph" w:styleId="TOC1">
    <w:name w:val="toc 1"/>
    <w:basedOn w:val="Normal"/>
    <w:next w:val="Normal"/>
    <w:autoRedefine/>
    <w:pPr>
      <w:tabs>
        <w:tab w:val="left" w:pos="720"/>
        <w:tab w:val="right" w:leader="dot" w:pos="9346"/>
      </w:tabs>
      <w:spacing w:before="240"/>
      <w:ind w:left="720" w:right="432" w:hanging="720"/>
    </w:pPr>
    <w:rPr>
      <w:noProof/>
    </w:rPr>
  </w:style>
  <w:style w:type="paragraph" w:styleId="TOC2">
    <w:name w:val="toc 2"/>
    <w:basedOn w:val="Normal"/>
    <w:next w:val="Normal"/>
    <w:autoRedefine/>
    <w:pPr>
      <w:tabs>
        <w:tab w:val="left" w:pos="1440"/>
        <w:tab w:val="right" w:leader="dot" w:pos="9346"/>
      </w:tabs>
      <w:spacing w:before="240"/>
      <w:ind w:left="1440" w:right="432" w:hanging="720"/>
    </w:pPr>
    <w:rPr>
      <w:noProof/>
    </w:rPr>
  </w:style>
  <w:style w:type="paragraph" w:styleId="TOC3">
    <w:name w:val="toc 3"/>
    <w:basedOn w:val="Normal"/>
    <w:next w:val="Normal"/>
    <w:autoRedefine/>
    <w:pPr>
      <w:tabs>
        <w:tab w:val="left" w:pos="2160"/>
        <w:tab w:val="right" w:leader="dot" w:pos="9346"/>
      </w:tabs>
      <w:spacing w:before="240"/>
      <w:ind w:left="2160" w:right="432" w:hanging="720"/>
    </w:pPr>
    <w:rPr>
      <w:noProof/>
    </w:rPr>
  </w:style>
  <w:style w:type="paragraph" w:styleId="TOC4">
    <w:name w:val="toc 4"/>
    <w:basedOn w:val="Normal"/>
    <w:next w:val="Normal"/>
    <w:autoRedefine/>
    <w:pPr>
      <w:tabs>
        <w:tab w:val="left" w:pos="2880"/>
        <w:tab w:val="right" w:leader="dot" w:pos="9346"/>
      </w:tabs>
      <w:ind w:left="2880" w:right="432" w:hanging="720"/>
    </w:pPr>
    <w:rPr>
      <w:noProof/>
    </w:rPr>
  </w:style>
  <w:style w:type="paragraph" w:styleId="TOC5">
    <w:name w:val="toc 5"/>
    <w:basedOn w:val="Normal"/>
    <w:next w:val="Normal"/>
    <w:autoRedefine/>
    <w:pPr>
      <w:tabs>
        <w:tab w:val="left" w:pos="3600"/>
        <w:tab w:val="right" w:leader="dot" w:pos="9346"/>
      </w:tabs>
      <w:ind w:left="3600" w:right="720" w:hanging="720"/>
    </w:pPr>
    <w:rPr>
      <w:noProof/>
    </w:rPr>
  </w:style>
  <w:style w:type="paragraph" w:styleId="TOC6">
    <w:name w:val="toc 6"/>
    <w:basedOn w:val="Normal"/>
    <w:next w:val="Normal"/>
    <w:autoRedefine/>
    <w:pPr>
      <w:tabs>
        <w:tab w:val="left" w:pos="4320"/>
        <w:tab w:val="right" w:leader="dot" w:pos="9346"/>
      </w:tabs>
      <w:ind w:left="4320" w:right="720" w:hanging="720"/>
    </w:pPr>
    <w:rPr>
      <w:noProof/>
    </w:rPr>
  </w:style>
  <w:style w:type="paragraph" w:styleId="TOC7">
    <w:name w:val="toc 7"/>
    <w:basedOn w:val="Normal"/>
    <w:next w:val="Normal"/>
    <w:autoRedefine/>
    <w:pPr>
      <w:tabs>
        <w:tab w:val="left" w:pos="5040"/>
        <w:tab w:val="right" w:leader="dot" w:pos="9346"/>
      </w:tabs>
      <w:ind w:left="5040" w:right="720" w:hanging="720"/>
    </w:pPr>
    <w:rPr>
      <w:noProof/>
    </w:rPr>
  </w:style>
  <w:style w:type="paragraph" w:styleId="TOC8">
    <w:name w:val="toc 8"/>
    <w:basedOn w:val="Normal"/>
    <w:next w:val="Normal"/>
    <w:autoRedefine/>
    <w:pPr>
      <w:tabs>
        <w:tab w:val="left" w:pos="5040"/>
        <w:tab w:val="right" w:leader="dot" w:pos="9346"/>
      </w:tabs>
      <w:ind w:left="5040" w:right="432" w:hanging="720"/>
    </w:pPr>
    <w:rPr>
      <w:noProof/>
    </w:rPr>
  </w:style>
  <w:style w:type="paragraph" w:styleId="TOC9">
    <w:name w:val="toc 9"/>
    <w:basedOn w:val="Normal"/>
    <w:next w:val="Normal"/>
    <w:autoRedefine/>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b/>
      <w:bCs/>
    </w:rPr>
  </w:style>
  <w:style w:type="table" w:customStyle="1" w:styleId="MediumGrid21">
    <w:name w:val="Medium Grid 21"/>
    <w:basedOn w:val="TableNormal"/>
    <w:uiPriority w:val="68"/>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Pr>
      <w:rFonts w:eastAsia="Times New Roman" w:cs="Times New Roman"/>
      <w:shd w:val="pct20" w:color="auto" w:fill="auto"/>
    </w:rPr>
  </w:style>
  <w:style w:type="paragraph" w:styleId="TOAHeading">
    <w:name w:val="toa heading"/>
    <w:basedOn w:val="Normal"/>
    <w:next w:val="Normal"/>
    <w:uiPriority w:val="99"/>
    <w:semiHidden/>
    <w:unhideWhenUsed/>
    <w:pPr>
      <w:spacing w:before="120"/>
    </w:pPr>
    <w:rPr>
      <w:b/>
      <w:bCs/>
    </w:rPr>
  </w:style>
  <w:style w:type="paragraph" w:styleId="TOCHeading">
    <w:name w:val="TOC Heading"/>
    <w:basedOn w:val="Normal"/>
    <w:next w:val="Normal"/>
    <w:uiPriority w:val="39"/>
    <w:semiHidden/>
    <w:unhideWhenUsed/>
    <w:qFormat/>
    <w:pPr>
      <w:jc w:val="center"/>
    </w:pPr>
    <w:rPr>
      <w:b/>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itleTOC">
    <w:name w:val="Title (TOC)"/>
    <w:basedOn w:val="Normal"/>
    <w:pPr>
      <w:keepNext/>
      <w:ind w:left="648" w:hanging="648"/>
      <w:jc w:val="center"/>
      <w:outlineLvl w:val="0"/>
    </w:pPr>
    <w:rPr>
      <w:b/>
    </w:rPr>
  </w:style>
  <w:style w:type="paragraph" w:customStyle="1" w:styleId="TitleL">
    <w:name w:val="Title L"/>
    <w:basedOn w:val="EndNote"/>
    <w:link w:val="TitleLChar"/>
    <w:pPr>
      <w:keepNext/>
      <w:ind w:left="0" w:firstLine="0"/>
    </w:pPr>
    <w:rPr>
      <w:b/>
    </w:rPr>
  </w:style>
  <w:style w:type="character" w:customStyle="1" w:styleId="TitleLChar">
    <w:name w:val="Title L Char"/>
    <w:basedOn w:val="DefaultParagraphFont"/>
    <w:link w:val="TitleL"/>
    <w:rPr>
      <w:rFonts w:eastAsia="Times New Roman" w:cs="Times New Roman"/>
      <w:b/>
    </w:rPr>
  </w:style>
  <w:style w:type="paragraph" w:customStyle="1" w:styleId="EndNote">
    <w:name w:val="End Note"/>
    <w:basedOn w:val="Normal"/>
    <w:pPr>
      <w:ind w:left="720" w:hanging="72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ListBullet">
    <w:name w:val="List Bullet"/>
    <w:basedOn w:val="Normal"/>
    <w:pPr>
      <w:numPr>
        <w:numId w:val="18"/>
      </w:numPr>
    </w:pPr>
  </w:style>
  <w:style w:type="character" w:styleId="PageNumber">
    <w:name w:val="page number"/>
    <w:basedOn w:val="DefaultParagraphFont"/>
  </w:style>
  <w:style w:type="paragraph" w:customStyle="1" w:styleId="1st05Dbl">
    <w:name w:val="1st0.5Dbl"/>
    <w:qFormat/>
    <w:pPr>
      <w:spacing w:line="480" w:lineRule="auto"/>
      <w:ind w:firstLine="720"/>
    </w:pPr>
    <w:rPr>
      <w:rFonts w:eastAsia="Calibri" w:cs="Times New Roman"/>
      <w:szCs w:val="22"/>
    </w:rPr>
  </w:style>
  <w:style w:type="paragraph" w:customStyle="1" w:styleId="1st05Sgl">
    <w:name w:val="1st0.5Sgl"/>
    <w:qFormat/>
    <w:pPr>
      <w:spacing w:after="240"/>
      <w:ind w:firstLine="720"/>
    </w:pPr>
    <w:rPr>
      <w:rFonts w:eastAsia="Calibri" w:cs="Times New Roman"/>
      <w:szCs w:val="22"/>
    </w:rPr>
  </w:style>
  <w:style w:type="paragraph" w:customStyle="1" w:styleId="1st10Dbl">
    <w:name w:val="1st1.0Dbl"/>
    <w:qFormat/>
    <w:pPr>
      <w:spacing w:line="480" w:lineRule="auto"/>
      <w:ind w:firstLine="1440"/>
    </w:pPr>
    <w:rPr>
      <w:rFonts w:eastAsia="Calibri" w:cs="Times New Roman"/>
      <w:szCs w:val="22"/>
    </w:rPr>
  </w:style>
  <w:style w:type="paragraph" w:customStyle="1" w:styleId="1st10Sgl">
    <w:name w:val="1st1.0Sgl"/>
    <w:qFormat/>
    <w:pPr>
      <w:spacing w:after="240"/>
      <w:ind w:firstLine="1440"/>
    </w:pPr>
    <w:rPr>
      <w:rFonts w:eastAsia="Calibri" w:cs="Times New Roman"/>
      <w:szCs w:val="22"/>
    </w:rPr>
  </w:style>
  <w:style w:type="paragraph" w:customStyle="1" w:styleId="AddressBlock">
    <w:name w:val="Address Block"/>
    <w:rPr>
      <w:rFonts w:eastAsia="Calibri" w:cs="Times New Roman"/>
      <w:szCs w:val="22"/>
    </w:rPr>
  </w:style>
  <w:style w:type="paragraph" w:customStyle="1" w:styleId="SigLn">
    <w:name w:val="SigLn"/>
    <w:next w:val="Normal"/>
    <w:qFormat/>
    <w:pPr>
      <w:tabs>
        <w:tab w:val="left" w:leader="underscore" w:pos="8640"/>
      </w:tabs>
      <w:ind w:left="4320"/>
    </w:pPr>
    <w:rPr>
      <w:rFonts w:eastAsia="Times New Roman" w:cs="Times New Roman"/>
      <w:bCs/>
      <w:kern w:val="32"/>
      <w:szCs w:val="32"/>
    </w:rPr>
  </w:style>
  <w:style w:type="paragraph" w:customStyle="1" w:styleId="SigNoLn">
    <w:name w:val="SigNoLn"/>
    <w:qFormat/>
    <w:pPr>
      <w:ind w:left="4320"/>
    </w:pPr>
    <w:rPr>
      <w:rFonts w:eastAsia="Times New Roman" w:cs="Times New Roman"/>
      <w:bCs/>
      <w:kern w:val="32"/>
      <w:szCs w:val="32"/>
    </w:rPr>
  </w:style>
  <w:style w:type="paragraph" w:customStyle="1" w:styleId="WITNESSETH">
    <w:name w:val="WITNESSETH"/>
    <w:qFormat/>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pPr>
      <w:spacing w:after="0"/>
    </w:pPr>
  </w:style>
  <w:style w:type="paragraph" w:styleId="Quote">
    <w:name w:val="Quote"/>
    <w:basedOn w:val="Normal"/>
    <w:next w:val="Normal"/>
    <w:link w:val="QuoteChar"/>
    <w:qFormat/>
    <w:pPr>
      <w:ind w:left="1440" w:right="1440"/>
    </w:pPr>
    <w:rPr>
      <w:iCs/>
    </w:rPr>
  </w:style>
  <w:style w:type="character" w:customStyle="1" w:styleId="QuoteChar">
    <w:name w:val="Quote Char"/>
    <w:basedOn w:val="DefaultParagraphFont"/>
    <w:link w:val="Quote"/>
    <w:rPr>
      <w:rFonts w:eastAsia="Times New Roman" w:cs="Times New Roman"/>
      <w:iCs/>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rPr>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tenseQuote">
    <w:name w:val="Intense Quote"/>
    <w:basedOn w:val="Normal"/>
    <w:next w:val="Normal"/>
    <w:link w:val="IntenseQuoteChar"/>
    <w:uiPriority w:val="99"/>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eastAsia="Times New Roman" w:cs="Times New Roman"/>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NoSpacing">
    <w:name w:val="No Spacing"/>
    <w:uiPriority w:val="99"/>
    <w:semiHidden/>
    <w:qFormat/>
    <w:rPr>
      <w:rFonts w:eastAsia="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character" w:customStyle="1" w:styleId="cohovertext">
    <w:name w:val="co_hovertext"/>
    <w:basedOn w:val="DefaultParagraphFont"/>
  </w:style>
  <w:style w:type="character" w:customStyle="1" w:styleId="apple-converted-space">
    <w:name w:val="apple-converted-space"/>
    <w:basedOn w:val="DefaultParagraphFont"/>
  </w:style>
  <w:style w:type="character" w:customStyle="1" w:styleId="cosearchterm">
    <w:name w:val="co_searchterm"/>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customStyle="1" w:styleId="costarpage">
    <w:name w:val="co_starpage"/>
    <w:basedOn w:val="DefaultParagraphFont"/>
  </w:style>
  <w:style w:type="character" w:styleId="Strong">
    <w:name w:val="Strong"/>
    <w:basedOn w:val="DefaultParagraphFont"/>
    <w:uiPriority w:val="22"/>
    <w:qFormat/>
    <w:rPr>
      <w:b/>
      <w:bCs/>
    </w:rPr>
  </w:style>
  <w:style w:type="character" w:customStyle="1" w:styleId="num">
    <w:name w:val="num"/>
    <w:basedOn w:val="DefaultParagraphFont"/>
  </w:style>
  <w:style w:type="character" w:customStyle="1" w:styleId="heading">
    <w:name w:val="heading"/>
    <w:basedOn w:val="DefaultParagraphFont"/>
  </w:style>
  <w:style w:type="character" w:customStyle="1" w:styleId="chapeau">
    <w:name w:val="chapeau"/>
    <w:basedOn w:val="DefaultParagraphFont"/>
  </w:style>
  <w:style w:type="character" w:customStyle="1" w:styleId="counderline">
    <w:name w:val="co_underline"/>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Pr>
      <w:rFonts w:eastAsia="Times New Roman" w:cs="Times New Roman"/>
    </w:rPr>
  </w:style>
  <w:style w:type="character" w:customStyle="1" w:styleId="DocIDChar">
    <w:name w:val="DocID Char"/>
    <w:basedOn w:val="ListParagraphChar"/>
    <w:link w:val="DocID"/>
    <w:rPr>
      <w:rFonts w:eastAsia="Times New Roman" w:cs="Times New Roman"/>
      <w:sz w:val="18"/>
      <w:szCs w:val="20"/>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380">
      <w:bodyDiv w:val="1"/>
      <w:marLeft w:val="0"/>
      <w:marRight w:val="0"/>
      <w:marTop w:val="0"/>
      <w:marBottom w:val="0"/>
      <w:divBdr>
        <w:top w:val="none" w:sz="0" w:space="0" w:color="auto"/>
        <w:left w:val="none" w:sz="0" w:space="0" w:color="auto"/>
        <w:bottom w:val="none" w:sz="0" w:space="0" w:color="auto"/>
        <w:right w:val="none" w:sz="0" w:space="0" w:color="auto"/>
      </w:divBdr>
      <w:divsChild>
        <w:div w:id="173617979">
          <w:marLeft w:val="0"/>
          <w:marRight w:val="0"/>
          <w:marTop w:val="0"/>
          <w:marBottom w:val="0"/>
          <w:divBdr>
            <w:top w:val="none" w:sz="0" w:space="0" w:color="auto"/>
            <w:left w:val="none" w:sz="0" w:space="0" w:color="auto"/>
            <w:bottom w:val="none" w:sz="0" w:space="0" w:color="auto"/>
            <w:right w:val="none" w:sz="0" w:space="0" w:color="auto"/>
          </w:divBdr>
          <w:divsChild>
            <w:div w:id="6030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043">
      <w:bodyDiv w:val="1"/>
      <w:marLeft w:val="0"/>
      <w:marRight w:val="0"/>
      <w:marTop w:val="0"/>
      <w:marBottom w:val="0"/>
      <w:divBdr>
        <w:top w:val="none" w:sz="0" w:space="0" w:color="auto"/>
        <w:left w:val="none" w:sz="0" w:space="0" w:color="auto"/>
        <w:bottom w:val="none" w:sz="0" w:space="0" w:color="auto"/>
        <w:right w:val="none" w:sz="0" w:space="0" w:color="auto"/>
      </w:divBdr>
      <w:divsChild>
        <w:div w:id="42415064">
          <w:marLeft w:val="0"/>
          <w:marRight w:val="0"/>
          <w:marTop w:val="0"/>
          <w:marBottom w:val="0"/>
          <w:divBdr>
            <w:top w:val="none" w:sz="0" w:space="0" w:color="auto"/>
            <w:left w:val="none" w:sz="0" w:space="0" w:color="auto"/>
            <w:bottom w:val="none" w:sz="0" w:space="0" w:color="auto"/>
            <w:right w:val="none" w:sz="0" w:space="0" w:color="auto"/>
          </w:divBdr>
          <w:divsChild>
            <w:div w:id="15170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347">
      <w:bodyDiv w:val="1"/>
      <w:marLeft w:val="0"/>
      <w:marRight w:val="0"/>
      <w:marTop w:val="0"/>
      <w:marBottom w:val="0"/>
      <w:divBdr>
        <w:top w:val="none" w:sz="0" w:space="0" w:color="auto"/>
        <w:left w:val="none" w:sz="0" w:space="0" w:color="auto"/>
        <w:bottom w:val="none" w:sz="0" w:space="0" w:color="auto"/>
        <w:right w:val="none" w:sz="0" w:space="0" w:color="auto"/>
      </w:divBdr>
      <w:divsChild>
        <w:div w:id="461778150">
          <w:marLeft w:val="0"/>
          <w:marRight w:val="0"/>
          <w:marTop w:val="0"/>
          <w:marBottom w:val="0"/>
          <w:divBdr>
            <w:top w:val="none" w:sz="0" w:space="0" w:color="auto"/>
            <w:left w:val="none" w:sz="0" w:space="0" w:color="auto"/>
            <w:bottom w:val="none" w:sz="0" w:space="0" w:color="auto"/>
            <w:right w:val="none" w:sz="0" w:space="0" w:color="auto"/>
          </w:divBdr>
          <w:divsChild>
            <w:div w:id="15392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9999">
      <w:bodyDiv w:val="1"/>
      <w:marLeft w:val="0"/>
      <w:marRight w:val="0"/>
      <w:marTop w:val="0"/>
      <w:marBottom w:val="0"/>
      <w:divBdr>
        <w:top w:val="none" w:sz="0" w:space="0" w:color="auto"/>
        <w:left w:val="none" w:sz="0" w:space="0" w:color="auto"/>
        <w:bottom w:val="none" w:sz="0" w:space="0" w:color="auto"/>
        <w:right w:val="none" w:sz="0" w:space="0" w:color="auto"/>
      </w:divBdr>
      <w:divsChild>
        <w:div w:id="792014608">
          <w:marLeft w:val="0"/>
          <w:marRight w:val="0"/>
          <w:marTop w:val="0"/>
          <w:marBottom w:val="0"/>
          <w:divBdr>
            <w:top w:val="none" w:sz="0" w:space="0" w:color="auto"/>
            <w:left w:val="none" w:sz="0" w:space="0" w:color="auto"/>
            <w:bottom w:val="none" w:sz="0" w:space="0" w:color="auto"/>
            <w:right w:val="none" w:sz="0" w:space="0" w:color="auto"/>
          </w:divBdr>
          <w:divsChild>
            <w:div w:id="6694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1317">
      <w:bodyDiv w:val="1"/>
      <w:marLeft w:val="0"/>
      <w:marRight w:val="0"/>
      <w:marTop w:val="0"/>
      <w:marBottom w:val="0"/>
      <w:divBdr>
        <w:top w:val="none" w:sz="0" w:space="0" w:color="auto"/>
        <w:left w:val="none" w:sz="0" w:space="0" w:color="auto"/>
        <w:bottom w:val="none" w:sz="0" w:space="0" w:color="auto"/>
        <w:right w:val="none" w:sz="0" w:space="0" w:color="auto"/>
      </w:divBdr>
      <w:divsChild>
        <w:div w:id="673342458">
          <w:marLeft w:val="0"/>
          <w:marRight w:val="0"/>
          <w:marTop w:val="0"/>
          <w:marBottom w:val="0"/>
          <w:divBdr>
            <w:top w:val="none" w:sz="0" w:space="0" w:color="auto"/>
            <w:left w:val="none" w:sz="0" w:space="0" w:color="auto"/>
            <w:bottom w:val="none" w:sz="0" w:space="0" w:color="auto"/>
            <w:right w:val="none" w:sz="0" w:space="0" w:color="auto"/>
          </w:divBdr>
          <w:divsChild>
            <w:div w:id="2081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725">
      <w:bodyDiv w:val="1"/>
      <w:marLeft w:val="0"/>
      <w:marRight w:val="0"/>
      <w:marTop w:val="0"/>
      <w:marBottom w:val="0"/>
      <w:divBdr>
        <w:top w:val="none" w:sz="0" w:space="0" w:color="auto"/>
        <w:left w:val="none" w:sz="0" w:space="0" w:color="auto"/>
        <w:bottom w:val="none" w:sz="0" w:space="0" w:color="auto"/>
        <w:right w:val="none" w:sz="0" w:space="0" w:color="auto"/>
      </w:divBdr>
      <w:divsChild>
        <w:div w:id="1688024765">
          <w:marLeft w:val="0"/>
          <w:marRight w:val="0"/>
          <w:marTop w:val="0"/>
          <w:marBottom w:val="0"/>
          <w:divBdr>
            <w:top w:val="none" w:sz="0" w:space="0" w:color="auto"/>
            <w:left w:val="none" w:sz="0" w:space="0" w:color="auto"/>
            <w:bottom w:val="none" w:sz="0" w:space="0" w:color="auto"/>
            <w:right w:val="none" w:sz="0" w:space="0" w:color="auto"/>
          </w:divBdr>
          <w:divsChild>
            <w:div w:id="781194194">
              <w:marLeft w:val="0"/>
              <w:marRight w:val="0"/>
              <w:marTop w:val="0"/>
              <w:marBottom w:val="0"/>
              <w:divBdr>
                <w:top w:val="none" w:sz="0" w:space="0" w:color="auto"/>
                <w:left w:val="none" w:sz="0" w:space="0" w:color="auto"/>
                <w:bottom w:val="none" w:sz="0" w:space="0" w:color="auto"/>
                <w:right w:val="none" w:sz="0" w:space="0" w:color="auto"/>
              </w:divBdr>
            </w:div>
            <w:div w:id="1994597675">
              <w:marLeft w:val="0"/>
              <w:marRight w:val="0"/>
              <w:marTop w:val="0"/>
              <w:marBottom w:val="0"/>
              <w:divBdr>
                <w:top w:val="none" w:sz="0" w:space="0" w:color="auto"/>
                <w:left w:val="none" w:sz="0" w:space="0" w:color="auto"/>
                <w:bottom w:val="none" w:sz="0" w:space="0" w:color="auto"/>
                <w:right w:val="none" w:sz="0" w:space="0" w:color="auto"/>
              </w:divBdr>
              <w:divsChild>
                <w:div w:id="1336690409">
                  <w:marLeft w:val="0"/>
                  <w:marRight w:val="0"/>
                  <w:marTop w:val="0"/>
                  <w:marBottom w:val="0"/>
                  <w:divBdr>
                    <w:top w:val="none" w:sz="0" w:space="0" w:color="auto"/>
                    <w:left w:val="none" w:sz="0" w:space="0" w:color="auto"/>
                    <w:bottom w:val="none" w:sz="0" w:space="0" w:color="auto"/>
                    <w:right w:val="none" w:sz="0" w:space="0" w:color="auto"/>
                  </w:divBdr>
                  <w:divsChild>
                    <w:div w:id="644089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2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8468">
              <w:marLeft w:val="0"/>
              <w:marRight w:val="0"/>
              <w:marTop w:val="0"/>
              <w:marBottom w:val="0"/>
              <w:divBdr>
                <w:top w:val="none" w:sz="0" w:space="0" w:color="auto"/>
                <w:left w:val="none" w:sz="0" w:space="0" w:color="auto"/>
                <w:bottom w:val="none" w:sz="0" w:space="0" w:color="auto"/>
                <w:right w:val="none" w:sz="0" w:space="0" w:color="auto"/>
              </w:divBdr>
            </w:div>
            <w:div w:id="9922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4576">
      <w:bodyDiv w:val="1"/>
      <w:marLeft w:val="0"/>
      <w:marRight w:val="0"/>
      <w:marTop w:val="0"/>
      <w:marBottom w:val="0"/>
      <w:divBdr>
        <w:top w:val="none" w:sz="0" w:space="0" w:color="auto"/>
        <w:left w:val="none" w:sz="0" w:space="0" w:color="auto"/>
        <w:bottom w:val="none" w:sz="0" w:space="0" w:color="auto"/>
        <w:right w:val="none" w:sz="0" w:space="0" w:color="auto"/>
      </w:divBdr>
      <w:divsChild>
        <w:div w:id="1468012476">
          <w:marLeft w:val="0"/>
          <w:marRight w:val="0"/>
          <w:marTop w:val="0"/>
          <w:marBottom w:val="0"/>
          <w:divBdr>
            <w:top w:val="none" w:sz="0" w:space="0" w:color="auto"/>
            <w:left w:val="none" w:sz="0" w:space="0" w:color="auto"/>
            <w:bottom w:val="none" w:sz="0" w:space="0" w:color="auto"/>
            <w:right w:val="none" w:sz="0" w:space="0" w:color="auto"/>
          </w:divBdr>
          <w:divsChild>
            <w:div w:id="61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0803">
      <w:bodyDiv w:val="1"/>
      <w:marLeft w:val="0"/>
      <w:marRight w:val="0"/>
      <w:marTop w:val="0"/>
      <w:marBottom w:val="0"/>
      <w:divBdr>
        <w:top w:val="none" w:sz="0" w:space="0" w:color="auto"/>
        <w:left w:val="none" w:sz="0" w:space="0" w:color="auto"/>
        <w:bottom w:val="none" w:sz="0" w:space="0" w:color="auto"/>
        <w:right w:val="none" w:sz="0" w:space="0" w:color="auto"/>
      </w:divBdr>
      <w:divsChild>
        <w:div w:id="1432774033">
          <w:marLeft w:val="0"/>
          <w:marRight w:val="0"/>
          <w:marTop w:val="0"/>
          <w:marBottom w:val="0"/>
          <w:divBdr>
            <w:top w:val="none" w:sz="0" w:space="0" w:color="auto"/>
            <w:left w:val="none" w:sz="0" w:space="0" w:color="auto"/>
            <w:bottom w:val="none" w:sz="0" w:space="0" w:color="auto"/>
            <w:right w:val="none" w:sz="0" w:space="0" w:color="auto"/>
          </w:divBdr>
          <w:divsChild>
            <w:div w:id="8880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744">
      <w:bodyDiv w:val="1"/>
      <w:marLeft w:val="0"/>
      <w:marRight w:val="0"/>
      <w:marTop w:val="0"/>
      <w:marBottom w:val="0"/>
      <w:divBdr>
        <w:top w:val="none" w:sz="0" w:space="0" w:color="auto"/>
        <w:left w:val="none" w:sz="0" w:space="0" w:color="auto"/>
        <w:bottom w:val="none" w:sz="0" w:space="0" w:color="auto"/>
        <w:right w:val="none" w:sz="0" w:space="0" w:color="auto"/>
      </w:divBdr>
    </w:div>
    <w:div w:id="239490499">
      <w:bodyDiv w:val="1"/>
      <w:marLeft w:val="0"/>
      <w:marRight w:val="0"/>
      <w:marTop w:val="0"/>
      <w:marBottom w:val="0"/>
      <w:divBdr>
        <w:top w:val="none" w:sz="0" w:space="0" w:color="auto"/>
        <w:left w:val="none" w:sz="0" w:space="0" w:color="auto"/>
        <w:bottom w:val="none" w:sz="0" w:space="0" w:color="auto"/>
        <w:right w:val="none" w:sz="0" w:space="0" w:color="auto"/>
      </w:divBdr>
      <w:divsChild>
        <w:div w:id="127960326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7564696">
      <w:bodyDiv w:val="1"/>
      <w:marLeft w:val="0"/>
      <w:marRight w:val="0"/>
      <w:marTop w:val="0"/>
      <w:marBottom w:val="0"/>
      <w:divBdr>
        <w:top w:val="none" w:sz="0" w:space="0" w:color="auto"/>
        <w:left w:val="none" w:sz="0" w:space="0" w:color="auto"/>
        <w:bottom w:val="none" w:sz="0" w:space="0" w:color="auto"/>
        <w:right w:val="none" w:sz="0" w:space="0" w:color="auto"/>
      </w:divBdr>
      <w:divsChild>
        <w:div w:id="1112549920">
          <w:marLeft w:val="240"/>
          <w:marRight w:val="0"/>
          <w:marTop w:val="60"/>
          <w:marBottom w:val="60"/>
          <w:divBdr>
            <w:top w:val="none" w:sz="0" w:space="0" w:color="auto"/>
            <w:left w:val="none" w:sz="0" w:space="0" w:color="auto"/>
            <w:bottom w:val="none" w:sz="0" w:space="0" w:color="auto"/>
            <w:right w:val="none" w:sz="0" w:space="0" w:color="auto"/>
          </w:divBdr>
          <w:divsChild>
            <w:div w:id="741221100">
              <w:marLeft w:val="0"/>
              <w:marRight w:val="0"/>
              <w:marTop w:val="0"/>
              <w:marBottom w:val="0"/>
              <w:divBdr>
                <w:top w:val="none" w:sz="0" w:space="0" w:color="auto"/>
                <w:left w:val="none" w:sz="0" w:space="0" w:color="auto"/>
                <w:bottom w:val="none" w:sz="0" w:space="0" w:color="auto"/>
                <w:right w:val="none" w:sz="0" w:space="0" w:color="auto"/>
              </w:divBdr>
            </w:div>
          </w:divsChild>
        </w:div>
        <w:div w:id="983004078">
          <w:marLeft w:val="240"/>
          <w:marRight w:val="0"/>
          <w:marTop w:val="60"/>
          <w:marBottom w:val="60"/>
          <w:divBdr>
            <w:top w:val="none" w:sz="0" w:space="0" w:color="auto"/>
            <w:left w:val="none" w:sz="0" w:space="0" w:color="auto"/>
            <w:bottom w:val="none" w:sz="0" w:space="0" w:color="auto"/>
            <w:right w:val="none" w:sz="0" w:space="0" w:color="auto"/>
          </w:divBdr>
          <w:divsChild>
            <w:div w:id="395903698">
              <w:marLeft w:val="0"/>
              <w:marRight w:val="0"/>
              <w:marTop w:val="0"/>
              <w:marBottom w:val="0"/>
              <w:divBdr>
                <w:top w:val="none" w:sz="0" w:space="0" w:color="auto"/>
                <w:left w:val="none" w:sz="0" w:space="0" w:color="auto"/>
                <w:bottom w:val="none" w:sz="0" w:space="0" w:color="auto"/>
                <w:right w:val="none" w:sz="0" w:space="0" w:color="auto"/>
              </w:divBdr>
            </w:div>
          </w:divsChild>
        </w:div>
        <w:div w:id="899946234">
          <w:marLeft w:val="240"/>
          <w:marRight w:val="0"/>
          <w:marTop w:val="60"/>
          <w:marBottom w:val="60"/>
          <w:divBdr>
            <w:top w:val="none" w:sz="0" w:space="0" w:color="auto"/>
            <w:left w:val="none" w:sz="0" w:space="0" w:color="auto"/>
            <w:bottom w:val="none" w:sz="0" w:space="0" w:color="auto"/>
            <w:right w:val="none" w:sz="0" w:space="0" w:color="auto"/>
          </w:divBdr>
          <w:divsChild>
            <w:div w:id="264463378">
              <w:marLeft w:val="0"/>
              <w:marRight w:val="0"/>
              <w:marTop w:val="0"/>
              <w:marBottom w:val="0"/>
              <w:divBdr>
                <w:top w:val="none" w:sz="0" w:space="0" w:color="auto"/>
                <w:left w:val="none" w:sz="0" w:space="0" w:color="auto"/>
                <w:bottom w:val="none" w:sz="0" w:space="0" w:color="auto"/>
                <w:right w:val="none" w:sz="0" w:space="0" w:color="auto"/>
              </w:divBdr>
            </w:div>
          </w:divsChild>
        </w:div>
        <w:div w:id="2049186461">
          <w:marLeft w:val="675"/>
          <w:marRight w:val="0"/>
          <w:marTop w:val="0"/>
          <w:marBottom w:val="0"/>
          <w:divBdr>
            <w:top w:val="none" w:sz="0" w:space="0" w:color="auto"/>
            <w:left w:val="none" w:sz="0" w:space="0" w:color="auto"/>
            <w:bottom w:val="none" w:sz="0" w:space="0" w:color="auto"/>
            <w:right w:val="none" w:sz="0" w:space="0" w:color="auto"/>
          </w:divBdr>
        </w:div>
      </w:divsChild>
    </w:div>
    <w:div w:id="370884640">
      <w:bodyDiv w:val="1"/>
      <w:marLeft w:val="0"/>
      <w:marRight w:val="0"/>
      <w:marTop w:val="0"/>
      <w:marBottom w:val="0"/>
      <w:divBdr>
        <w:top w:val="none" w:sz="0" w:space="0" w:color="auto"/>
        <w:left w:val="none" w:sz="0" w:space="0" w:color="auto"/>
        <w:bottom w:val="none" w:sz="0" w:space="0" w:color="auto"/>
        <w:right w:val="none" w:sz="0" w:space="0" w:color="auto"/>
      </w:divBdr>
      <w:divsChild>
        <w:div w:id="1143502680">
          <w:marLeft w:val="0"/>
          <w:marRight w:val="0"/>
          <w:marTop w:val="0"/>
          <w:marBottom w:val="0"/>
          <w:divBdr>
            <w:top w:val="none" w:sz="0" w:space="0" w:color="auto"/>
            <w:left w:val="none" w:sz="0" w:space="0" w:color="auto"/>
            <w:bottom w:val="none" w:sz="0" w:space="0" w:color="auto"/>
            <w:right w:val="none" w:sz="0" w:space="0" w:color="auto"/>
          </w:divBdr>
          <w:divsChild>
            <w:div w:id="1403992363">
              <w:marLeft w:val="0"/>
              <w:marRight w:val="0"/>
              <w:marTop w:val="0"/>
              <w:marBottom w:val="0"/>
              <w:divBdr>
                <w:top w:val="none" w:sz="0" w:space="0" w:color="auto"/>
                <w:left w:val="none" w:sz="0" w:space="0" w:color="auto"/>
                <w:bottom w:val="none" w:sz="0" w:space="0" w:color="auto"/>
                <w:right w:val="none" w:sz="0" w:space="0" w:color="auto"/>
              </w:divBdr>
              <w:divsChild>
                <w:div w:id="1145468825">
                  <w:marLeft w:val="0"/>
                  <w:marRight w:val="0"/>
                  <w:marTop w:val="0"/>
                  <w:marBottom w:val="0"/>
                  <w:divBdr>
                    <w:top w:val="none" w:sz="0" w:space="0" w:color="auto"/>
                    <w:left w:val="none" w:sz="0" w:space="0" w:color="auto"/>
                    <w:bottom w:val="none" w:sz="0" w:space="0" w:color="auto"/>
                    <w:right w:val="none" w:sz="0" w:space="0" w:color="auto"/>
                  </w:divBdr>
                </w:div>
              </w:divsChild>
            </w:div>
            <w:div w:id="362443858">
              <w:marLeft w:val="0"/>
              <w:marRight w:val="0"/>
              <w:marTop w:val="0"/>
              <w:marBottom w:val="0"/>
              <w:divBdr>
                <w:top w:val="none" w:sz="0" w:space="0" w:color="auto"/>
                <w:left w:val="none" w:sz="0" w:space="0" w:color="auto"/>
                <w:bottom w:val="none" w:sz="0" w:space="0" w:color="auto"/>
                <w:right w:val="none" w:sz="0" w:space="0" w:color="auto"/>
              </w:divBdr>
              <w:divsChild>
                <w:div w:id="639504180">
                  <w:marLeft w:val="0"/>
                  <w:marRight w:val="0"/>
                  <w:marTop w:val="0"/>
                  <w:marBottom w:val="0"/>
                  <w:divBdr>
                    <w:top w:val="none" w:sz="0" w:space="0" w:color="auto"/>
                    <w:left w:val="none" w:sz="0" w:space="0" w:color="auto"/>
                    <w:bottom w:val="none" w:sz="0" w:space="0" w:color="auto"/>
                    <w:right w:val="none" w:sz="0" w:space="0" w:color="auto"/>
                  </w:divBdr>
                  <w:divsChild>
                    <w:div w:id="847065092">
                      <w:marLeft w:val="0"/>
                      <w:marRight w:val="0"/>
                      <w:marTop w:val="0"/>
                      <w:marBottom w:val="0"/>
                      <w:divBdr>
                        <w:top w:val="none" w:sz="0" w:space="0" w:color="auto"/>
                        <w:left w:val="none" w:sz="0" w:space="0" w:color="auto"/>
                        <w:bottom w:val="none" w:sz="0" w:space="0" w:color="auto"/>
                        <w:right w:val="none" w:sz="0" w:space="0" w:color="auto"/>
                      </w:divBdr>
                    </w:div>
                  </w:divsChild>
                </w:div>
                <w:div w:id="297997504">
                  <w:marLeft w:val="0"/>
                  <w:marRight w:val="0"/>
                  <w:marTop w:val="0"/>
                  <w:marBottom w:val="0"/>
                  <w:divBdr>
                    <w:top w:val="none" w:sz="0" w:space="0" w:color="auto"/>
                    <w:left w:val="none" w:sz="0" w:space="0" w:color="auto"/>
                    <w:bottom w:val="none" w:sz="0" w:space="0" w:color="auto"/>
                    <w:right w:val="none" w:sz="0" w:space="0" w:color="auto"/>
                  </w:divBdr>
                  <w:divsChild>
                    <w:div w:id="2029019590">
                      <w:marLeft w:val="0"/>
                      <w:marRight w:val="0"/>
                      <w:marTop w:val="0"/>
                      <w:marBottom w:val="0"/>
                      <w:divBdr>
                        <w:top w:val="none" w:sz="0" w:space="0" w:color="auto"/>
                        <w:left w:val="none" w:sz="0" w:space="0" w:color="auto"/>
                        <w:bottom w:val="none" w:sz="0" w:space="0" w:color="auto"/>
                        <w:right w:val="none" w:sz="0" w:space="0" w:color="auto"/>
                      </w:divBdr>
                      <w:divsChild>
                        <w:div w:id="10968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6003">
                  <w:marLeft w:val="0"/>
                  <w:marRight w:val="0"/>
                  <w:marTop w:val="0"/>
                  <w:marBottom w:val="0"/>
                  <w:divBdr>
                    <w:top w:val="none" w:sz="0" w:space="0" w:color="auto"/>
                    <w:left w:val="none" w:sz="0" w:space="0" w:color="auto"/>
                    <w:bottom w:val="none" w:sz="0" w:space="0" w:color="auto"/>
                    <w:right w:val="none" w:sz="0" w:space="0" w:color="auto"/>
                  </w:divBdr>
                  <w:divsChild>
                    <w:div w:id="454056930">
                      <w:marLeft w:val="0"/>
                      <w:marRight w:val="0"/>
                      <w:marTop w:val="0"/>
                      <w:marBottom w:val="0"/>
                      <w:divBdr>
                        <w:top w:val="none" w:sz="0" w:space="0" w:color="auto"/>
                        <w:left w:val="none" w:sz="0" w:space="0" w:color="auto"/>
                        <w:bottom w:val="none" w:sz="0" w:space="0" w:color="auto"/>
                        <w:right w:val="none" w:sz="0" w:space="0" w:color="auto"/>
                      </w:divBdr>
                      <w:divsChild>
                        <w:div w:id="558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58">
                  <w:marLeft w:val="0"/>
                  <w:marRight w:val="0"/>
                  <w:marTop w:val="0"/>
                  <w:marBottom w:val="0"/>
                  <w:divBdr>
                    <w:top w:val="none" w:sz="0" w:space="0" w:color="auto"/>
                    <w:left w:val="none" w:sz="0" w:space="0" w:color="auto"/>
                    <w:bottom w:val="none" w:sz="0" w:space="0" w:color="auto"/>
                    <w:right w:val="none" w:sz="0" w:space="0" w:color="auto"/>
                  </w:divBdr>
                  <w:divsChild>
                    <w:div w:id="1409231169">
                      <w:marLeft w:val="0"/>
                      <w:marRight w:val="0"/>
                      <w:marTop w:val="0"/>
                      <w:marBottom w:val="0"/>
                      <w:divBdr>
                        <w:top w:val="none" w:sz="0" w:space="0" w:color="auto"/>
                        <w:left w:val="none" w:sz="0" w:space="0" w:color="auto"/>
                        <w:bottom w:val="none" w:sz="0" w:space="0" w:color="auto"/>
                        <w:right w:val="none" w:sz="0" w:space="0" w:color="auto"/>
                      </w:divBdr>
                      <w:divsChild>
                        <w:div w:id="204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7283">
              <w:marLeft w:val="0"/>
              <w:marRight w:val="0"/>
              <w:marTop w:val="0"/>
              <w:marBottom w:val="0"/>
              <w:divBdr>
                <w:top w:val="none" w:sz="0" w:space="0" w:color="auto"/>
                <w:left w:val="none" w:sz="0" w:space="0" w:color="auto"/>
                <w:bottom w:val="none" w:sz="0" w:space="0" w:color="auto"/>
                <w:right w:val="none" w:sz="0" w:space="0" w:color="auto"/>
              </w:divBdr>
              <w:divsChild>
                <w:div w:id="306865139">
                  <w:marLeft w:val="0"/>
                  <w:marRight w:val="0"/>
                  <w:marTop w:val="0"/>
                  <w:marBottom w:val="0"/>
                  <w:divBdr>
                    <w:top w:val="none" w:sz="0" w:space="0" w:color="auto"/>
                    <w:left w:val="none" w:sz="0" w:space="0" w:color="auto"/>
                    <w:bottom w:val="none" w:sz="0" w:space="0" w:color="auto"/>
                    <w:right w:val="none" w:sz="0" w:space="0" w:color="auto"/>
                  </w:divBdr>
                  <w:divsChild>
                    <w:div w:id="6777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98288">
              <w:marLeft w:val="0"/>
              <w:marRight w:val="0"/>
              <w:marTop w:val="0"/>
              <w:marBottom w:val="0"/>
              <w:divBdr>
                <w:top w:val="none" w:sz="0" w:space="0" w:color="auto"/>
                <w:left w:val="none" w:sz="0" w:space="0" w:color="auto"/>
                <w:bottom w:val="none" w:sz="0" w:space="0" w:color="auto"/>
                <w:right w:val="none" w:sz="0" w:space="0" w:color="auto"/>
              </w:divBdr>
              <w:divsChild>
                <w:div w:id="1514996272">
                  <w:marLeft w:val="0"/>
                  <w:marRight w:val="0"/>
                  <w:marTop w:val="0"/>
                  <w:marBottom w:val="0"/>
                  <w:divBdr>
                    <w:top w:val="none" w:sz="0" w:space="0" w:color="auto"/>
                    <w:left w:val="none" w:sz="0" w:space="0" w:color="auto"/>
                    <w:bottom w:val="none" w:sz="0" w:space="0" w:color="auto"/>
                    <w:right w:val="none" w:sz="0" w:space="0" w:color="auto"/>
                  </w:divBdr>
                  <w:divsChild>
                    <w:div w:id="1696737245">
                      <w:marLeft w:val="0"/>
                      <w:marRight w:val="0"/>
                      <w:marTop w:val="0"/>
                      <w:marBottom w:val="0"/>
                      <w:divBdr>
                        <w:top w:val="none" w:sz="0" w:space="0" w:color="auto"/>
                        <w:left w:val="none" w:sz="0" w:space="0" w:color="auto"/>
                        <w:bottom w:val="none" w:sz="0" w:space="0" w:color="auto"/>
                        <w:right w:val="none" w:sz="0" w:space="0" w:color="auto"/>
                      </w:divBdr>
                    </w:div>
                  </w:divsChild>
                </w:div>
                <w:div w:id="1217397349">
                  <w:marLeft w:val="0"/>
                  <w:marRight w:val="0"/>
                  <w:marTop w:val="0"/>
                  <w:marBottom w:val="0"/>
                  <w:divBdr>
                    <w:top w:val="none" w:sz="0" w:space="0" w:color="auto"/>
                    <w:left w:val="none" w:sz="0" w:space="0" w:color="auto"/>
                    <w:bottom w:val="none" w:sz="0" w:space="0" w:color="auto"/>
                    <w:right w:val="none" w:sz="0" w:space="0" w:color="auto"/>
                  </w:divBdr>
                  <w:divsChild>
                    <w:div w:id="1698118015">
                      <w:marLeft w:val="0"/>
                      <w:marRight w:val="0"/>
                      <w:marTop w:val="0"/>
                      <w:marBottom w:val="0"/>
                      <w:divBdr>
                        <w:top w:val="none" w:sz="0" w:space="0" w:color="auto"/>
                        <w:left w:val="none" w:sz="0" w:space="0" w:color="auto"/>
                        <w:bottom w:val="none" w:sz="0" w:space="0" w:color="auto"/>
                        <w:right w:val="none" w:sz="0" w:space="0" w:color="auto"/>
                      </w:divBdr>
                      <w:divsChild>
                        <w:div w:id="18559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2351">
                  <w:marLeft w:val="0"/>
                  <w:marRight w:val="0"/>
                  <w:marTop w:val="0"/>
                  <w:marBottom w:val="0"/>
                  <w:divBdr>
                    <w:top w:val="none" w:sz="0" w:space="0" w:color="auto"/>
                    <w:left w:val="none" w:sz="0" w:space="0" w:color="auto"/>
                    <w:bottom w:val="none" w:sz="0" w:space="0" w:color="auto"/>
                    <w:right w:val="none" w:sz="0" w:space="0" w:color="auto"/>
                  </w:divBdr>
                  <w:divsChild>
                    <w:div w:id="565337966">
                      <w:marLeft w:val="0"/>
                      <w:marRight w:val="0"/>
                      <w:marTop w:val="0"/>
                      <w:marBottom w:val="0"/>
                      <w:divBdr>
                        <w:top w:val="none" w:sz="0" w:space="0" w:color="auto"/>
                        <w:left w:val="none" w:sz="0" w:space="0" w:color="auto"/>
                        <w:bottom w:val="none" w:sz="0" w:space="0" w:color="auto"/>
                        <w:right w:val="none" w:sz="0" w:space="0" w:color="auto"/>
                      </w:divBdr>
                      <w:divsChild>
                        <w:div w:id="1467091419">
                          <w:marLeft w:val="0"/>
                          <w:marRight w:val="0"/>
                          <w:marTop w:val="0"/>
                          <w:marBottom w:val="0"/>
                          <w:divBdr>
                            <w:top w:val="none" w:sz="0" w:space="0" w:color="auto"/>
                            <w:left w:val="none" w:sz="0" w:space="0" w:color="auto"/>
                            <w:bottom w:val="none" w:sz="0" w:space="0" w:color="auto"/>
                            <w:right w:val="none" w:sz="0" w:space="0" w:color="auto"/>
                          </w:divBdr>
                        </w:div>
                      </w:divsChild>
                    </w:div>
                    <w:div w:id="1564751161">
                      <w:marLeft w:val="0"/>
                      <w:marRight w:val="0"/>
                      <w:marTop w:val="0"/>
                      <w:marBottom w:val="0"/>
                      <w:divBdr>
                        <w:top w:val="none" w:sz="0" w:space="0" w:color="auto"/>
                        <w:left w:val="none" w:sz="0" w:space="0" w:color="auto"/>
                        <w:bottom w:val="none" w:sz="0" w:space="0" w:color="auto"/>
                        <w:right w:val="none" w:sz="0" w:space="0" w:color="auto"/>
                      </w:divBdr>
                      <w:divsChild>
                        <w:div w:id="1335567945">
                          <w:marLeft w:val="0"/>
                          <w:marRight w:val="0"/>
                          <w:marTop w:val="0"/>
                          <w:marBottom w:val="0"/>
                          <w:divBdr>
                            <w:top w:val="none" w:sz="0" w:space="0" w:color="auto"/>
                            <w:left w:val="none" w:sz="0" w:space="0" w:color="auto"/>
                            <w:bottom w:val="none" w:sz="0" w:space="0" w:color="auto"/>
                            <w:right w:val="none" w:sz="0" w:space="0" w:color="auto"/>
                          </w:divBdr>
                          <w:divsChild>
                            <w:div w:id="9131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4957">
                      <w:marLeft w:val="0"/>
                      <w:marRight w:val="0"/>
                      <w:marTop w:val="0"/>
                      <w:marBottom w:val="0"/>
                      <w:divBdr>
                        <w:top w:val="none" w:sz="0" w:space="0" w:color="auto"/>
                        <w:left w:val="none" w:sz="0" w:space="0" w:color="auto"/>
                        <w:bottom w:val="none" w:sz="0" w:space="0" w:color="auto"/>
                        <w:right w:val="none" w:sz="0" w:space="0" w:color="auto"/>
                      </w:divBdr>
                      <w:divsChild>
                        <w:div w:id="449476145">
                          <w:marLeft w:val="0"/>
                          <w:marRight w:val="0"/>
                          <w:marTop w:val="0"/>
                          <w:marBottom w:val="0"/>
                          <w:divBdr>
                            <w:top w:val="none" w:sz="0" w:space="0" w:color="auto"/>
                            <w:left w:val="none" w:sz="0" w:space="0" w:color="auto"/>
                            <w:bottom w:val="none" w:sz="0" w:space="0" w:color="auto"/>
                            <w:right w:val="none" w:sz="0" w:space="0" w:color="auto"/>
                          </w:divBdr>
                          <w:divsChild>
                            <w:div w:id="1875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968">
                  <w:marLeft w:val="0"/>
                  <w:marRight w:val="0"/>
                  <w:marTop w:val="0"/>
                  <w:marBottom w:val="0"/>
                  <w:divBdr>
                    <w:top w:val="none" w:sz="0" w:space="0" w:color="auto"/>
                    <w:left w:val="none" w:sz="0" w:space="0" w:color="auto"/>
                    <w:bottom w:val="none" w:sz="0" w:space="0" w:color="auto"/>
                    <w:right w:val="none" w:sz="0" w:space="0" w:color="auto"/>
                  </w:divBdr>
                  <w:divsChild>
                    <w:div w:id="281115492">
                      <w:marLeft w:val="0"/>
                      <w:marRight w:val="0"/>
                      <w:marTop w:val="0"/>
                      <w:marBottom w:val="0"/>
                      <w:divBdr>
                        <w:top w:val="none" w:sz="0" w:space="0" w:color="auto"/>
                        <w:left w:val="none" w:sz="0" w:space="0" w:color="auto"/>
                        <w:bottom w:val="none" w:sz="0" w:space="0" w:color="auto"/>
                        <w:right w:val="none" w:sz="0" w:space="0" w:color="auto"/>
                      </w:divBdr>
                    </w:div>
                  </w:divsChild>
                </w:div>
                <w:div w:id="816805486">
                  <w:marLeft w:val="0"/>
                  <w:marRight w:val="0"/>
                  <w:marTop w:val="0"/>
                  <w:marBottom w:val="0"/>
                  <w:divBdr>
                    <w:top w:val="none" w:sz="0" w:space="0" w:color="auto"/>
                    <w:left w:val="none" w:sz="0" w:space="0" w:color="auto"/>
                    <w:bottom w:val="none" w:sz="0" w:space="0" w:color="auto"/>
                    <w:right w:val="none" w:sz="0" w:space="0" w:color="auto"/>
                  </w:divBdr>
                  <w:divsChild>
                    <w:div w:id="304480704">
                      <w:marLeft w:val="0"/>
                      <w:marRight w:val="0"/>
                      <w:marTop w:val="0"/>
                      <w:marBottom w:val="0"/>
                      <w:divBdr>
                        <w:top w:val="none" w:sz="0" w:space="0" w:color="auto"/>
                        <w:left w:val="none" w:sz="0" w:space="0" w:color="auto"/>
                        <w:bottom w:val="none" w:sz="0" w:space="0" w:color="auto"/>
                        <w:right w:val="none" w:sz="0" w:space="0" w:color="auto"/>
                      </w:divBdr>
                      <w:divsChild>
                        <w:div w:id="13250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05864">
              <w:marLeft w:val="0"/>
              <w:marRight w:val="0"/>
              <w:marTop w:val="0"/>
              <w:marBottom w:val="0"/>
              <w:divBdr>
                <w:top w:val="none" w:sz="0" w:space="0" w:color="auto"/>
                <w:left w:val="none" w:sz="0" w:space="0" w:color="auto"/>
                <w:bottom w:val="none" w:sz="0" w:space="0" w:color="auto"/>
                <w:right w:val="none" w:sz="0" w:space="0" w:color="auto"/>
              </w:divBdr>
              <w:divsChild>
                <w:div w:id="280648002">
                  <w:marLeft w:val="0"/>
                  <w:marRight w:val="0"/>
                  <w:marTop w:val="0"/>
                  <w:marBottom w:val="0"/>
                  <w:divBdr>
                    <w:top w:val="none" w:sz="0" w:space="0" w:color="auto"/>
                    <w:left w:val="none" w:sz="0" w:space="0" w:color="auto"/>
                    <w:bottom w:val="none" w:sz="0" w:space="0" w:color="auto"/>
                    <w:right w:val="none" w:sz="0" w:space="0" w:color="auto"/>
                  </w:divBdr>
                </w:div>
              </w:divsChild>
            </w:div>
            <w:div w:id="761534088">
              <w:marLeft w:val="0"/>
              <w:marRight w:val="0"/>
              <w:marTop w:val="0"/>
              <w:marBottom w:val="0"/>
              <w:divBdr>
                <w:top w:val="none" w:sz="0" w:space="0" w:color="auto"/>
                <w:left w:val="none" w:sz="0" w:space="0" w:color="auto"/>
                <w:bottom w:val="none" w:sz="0" w:space="0" w:color="auto"/>
                <w:right w:val="none" w:sz="0" w:space="0" w:color="auto"/>
              </w:divBdr>
              <w:divsChild>
                <w:div w:id="2117670558">
                  <w:marLeft w:val="0"/>
                  <w:marRight w:val="0"/>
                  <w:marTop w:val="0"/>
                  <w:marBottom w:val="0"/>
                  <w:divBdr>
                    <w:top w:val="none" w:sz="0" w:space="0" w:color="auto"/>
                    <w:left w:val="none" w:sz="0" w:space="0" w:color="auto"/>
                    <w:bottom w:val="none" w:sz="0" w:space="0" w:color="auto"/>
                    <w:right w:val="none" w:sz="0" w:space="0" w:color="auto"/>
                  </w:divBdr>
                  <w:divsChild>
                    <w:div w:id="19693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0232">
      <w:bodyDiv w:val="1"/>
      <w:marLeft w:val="0"/>
      <w:marRight w:val="0"/>
      <w:marTop w:val="0"/>
      <w:marBottom w:val="0"/>
      <w:divBdr>
        <w:top w:val="none" w:sz="0" w:space="0" w:color="auto"/>
        <w:left w:val="none" w:sz="0" w:space="0" w:color="auto"/>
        <w:bottom w:val="none" w:sz="0" w:space="0" w:color="auto"/>
        <w:right w:val="none" w:sz="0" w:space="0" w:color="auto"/>
      </w:divBdr>
      <w:divsChild>
        <w:div w:id="1647322799">
          <w:marLeft w:val="480"/>
          <w:marRight w:val="0"/>
          <w:marTop w:val="0"/>
          <w:marBottom w:val="0"/>
          <w:divBdr>
            <w:top w:val="none" w:sz="0" w:space="0" w:color="auto"/>
            <w:left w:val="none" w:sz="0" w:space="0" w:color="auto"/>
            <w:bottom w:val="none" w:sz="0" w:space="0" w:color="auto"/>
            <w:right w:val="none" w:sz="0" w:space="0" w:color="auto"/>
          </w:divBdr>
        </w:div>
      </w:divsChild>
    </w:div>
    <w:div w:id="450364300">
      <w:bodyDiv w:val="1"/>
      <w:marLeft w:val="0"/>
      <w:marRight w:val="0"/>
      <w:marTop w:val="0"/>
      <w:marBottom w:val="0"/>
      <w:divBdr>
        <w:top w:val="none" w:sz="0" w:space="0" w:color="auto"/>
        <w:left w:val="none" w:sz="0" w:space="0" w:color="auto"/>
        <w:bottom w:val="none" w:sz="0" w:space="0" w:color="auto"/>
        <w:right w:val="none" w:sz="0" w:space="0" w:color="auto"/>
      </w:divBdr>
      <w:divsChild>
        <w:div w:id="1371764398">
          <w:marLeft w:val="0"/>
          <w:marRight w:val="0"/>
          <w:marTop w:val="0"/>
          <w:marBottom w:val="0"/>
          <w:divBdr>
            <w:top w:val="none" w:sz="0" w:space="0" w:color="auto"/>
            <w:left w:val="none" w:sz="0" w:space="0" w:color="auto"/>
            <w:bottom w:val="none" w:sz="0" w:space="0" w:color="auto"/>
            <w:right w:val="none" w:sz="0" w:space="0" w:color="auto"/>
          </w:divBdr>
          <w:divsChild>
            <w:div w:id="931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18877">
      <w:bodyDiv w:val="1"/>
      <w:marLeft w:val="0"/>
      <w:marRight w:val="0"/>
      <w:marTop w:val="0"/>
      <w:marBottom w:val="0"/>
      <w:divBdr>
        <w:top w:val="none" w:sz="0" w:space="0" w:color="auto"/>
        <w:left w:val="none" w:sz="0" w:space="0" w:color="auto"/>
        <w:bottom w:val="none" w:sz="0" w:space="0" w:color="auto"/>
        <w:right w:val="none" w:sz="0" w:space="0" w:color="auto"/>
      </w:divBdr>
    </w:div>
    <w:div w:id="471867687">
      <w:bodyDiv w:val="1"/>
      <w:marLeft w:val="0"/>
      <w:marRight w:val="0"/>
      <w:marTop w:val="0"/>
      <w:marBottom w:val="0"/>
      <w:divBdr>
        <w:top w:val="none" w:sz="0" w:space="0" w:color="auto"/>
        <w:left w:val="none" w:sz="0" w:space="0" w:color="auto"/>
        <w:bottom w:val="none" w:sz="0" w:space="0" w:color="auto"/>
        <w:right w:val="none" w:sz="0" w:space="0" w:color="auto"/>
      </w:divBdr>
    </w:div>
    <w:div w:id="609623343">
      <w:bodyDiv w:val="1"/>
      <w:marLeft w:val="0"/>
      <w:marRight w:val="0"/>
      <w:marTop w:val="0"/>
      <w:marBottom w:val="0"/>
      <w:divBdr>
        <w:top w:val="none" w:sz="0" w:space="0" w:color="auto"/>
        <w:left w:val="none" w:sz="0" w:space="0" w:color="auto"/>
        <w:bottom w:val="none" w:sz="0" w:space="0" w:color="auto"/>
        <w:right w:val="none" w:sz="0" w:space="0" w:color="auto"/>
      </w:divBdr>
      <w:divsChild>
        <w:div w:id="425879767">
          <w:marLeft w:val="0"/>
          <w:marRight w:val="0"/>
          <w:marTop w:val="0"/>
          <w:marBottom w:val="0"/>
          <w:divBdr>
            <w:top w:val="none" w:sz="0" w:space="0" w:color="auto"/>
            <w:left w:val="none" w:sz="0" w:space="0" w:color="auto"/>
            <w:bottom w:val="none" w:sz="0" w:space="0" w:color="auto"/>
            <w:right w:val="none" w:sz="0" w:space="0" w:color="auto"/>
          </w:divBdr>
          <w:divsChild>
            <w:div w:id="13885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161">
      <w:bodyDiv w:val="1"/>
      <w:marLeft w:val="0"/>
      <w:marRight w:val="0"/>
      <w:marTop w:val="0"/>
      <w:marBottom w:val="0"/>
      <w:divBdr>
        <w:top w:val="none" w:sz="0" w:space="0" w:color="auto"/>
        <w:left w:val="none" w:sz="0" w:space="0" w:color="auto"/>
        <w:bottom w:val="none" w:sz="0" w:space="0" w:color="auto"/>
        <w:right w:val="none" w:sz="0" w:space="0" w:color="auto"/>
      </w:divBdr>
    </w:div>
    <w:div w:id="727804098">
      <w:bodyDiv w:val="1"/>
      <w:marLeft w:val="0"/>
      <w:marRight w:val="0"/>
      <w:marTop w:val="0"/>
      <w:marBottom w:val="0"/>
      <w:divBdr>
        <w:top w:val="none" w:sz="0" w:space="0" w:color="auto"/>
        <w:left w:val="none" w:sz="0" w:space="0" w:color="auto"/>
        <w:bottom w:val="none" w:sz="0" w:space="0" w:color="auto"/>
        <w:right w:val="none" w:sz="0" w:space="0" w:color="auto"/>
      </w:divBdr>
      <w:divsChild>
        <w:div w:id="1023820175">
          <w:marLeft w:val="0"/>
          <w:marRight w:val="0"/>
          <w:marTop w:val="0"/>
          <w:marBottom w:val="0"/>
          <w:divBdr>
            <w:top w:val="none" w:sz="0" w:space="0" w:color="auto"/>
            <w:left w:val="none" w:sz="0" w:space="0" w:color="auto"/>
            <w:bottom w:val="none" w:sz="0" w:space="0" w:color="auto"/>
            <w:right w:val="none" w:sz="0" w:space="0" w:color="auto"/>
          </w:divBdr>
          <w:divsChild>
            <w:div w:id="6423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70595">
      <w:bodyDiv w:val="1"/>
      <w:marLeft w:val="0"/>
      <w:marRight w:val="0"/>
      <w:marTop w:val="0"/>
      <w:marBottom w:val="0"/>
      <w:divBdr>
        <w:top w:val="none" w:sz="0" w:space="0" w:color="auto"/>
        <w:left w:val="none" w:sz="0" w:space="0" w:color="auto"/>
        <w:bottom w:val="none" w:sz="0" w:space="0" w:color="auto"/>
        <w:right w:val="none" w:sz="0" w:space="0" w:color="auto"/>
      </w:divBdr>
      <w:divsChild>
        <w:div w:id="985403387">
          <w:marLeft w:val="0"/>
          <w:marRight w:val="0"/>
          <w:marTop w:val="0"/>
          <w:marBottom w:val="0"/>
          <w:divBdr>
            <w:top w:val="none" w:sz="0" w:space="0" w:color="auto"/>
            <w:left w:val="none" w:sz="0" w:space="0" w:color="auto"/>
            <w:bottom w:val="none" w:sz="0" w:space="0" w:color="auto"/>
            <w:right w:val="none" w:sz="0" w:space="0" w:color="auto"/>
          </w:divBdr>
          <w:divsChild>
            <w:div w:id="6304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4768">
      <w:bodyDiv w:val="1"/>
      <w:marLeft w:val="0"/>
      <w:marRight w:val="0"/>
      <w:marTop w:val="0"/>
      <w:marBottom w:val="0"/>
      <w:divBdr>
        <w:top w:val="none" w:sz="0" w:space="0" w:color="auto"/>
        <w:left w:val="none" w:sz="0" w:space="0" w:color="auto"/>
        <w:bottom w:val="none" w:sz="0" w:space="0" w:color="auto"/>
        <w:right w:val="none" w:sz="0" w:space="0" w:color="auto"/>
      </w:divBdr>
      <w:divsChild>
        <w:div w:id="1846356946">
          <w:marLeft w:val="0"/>
          <w:marRight w:val="0"/>
          <w:marTop w:val="0"/>
          <w:marBottom w:val="0"/>
          <w:divBdr>
            <w:top w:val="none" w:sz="0" w:space="0" w:color="auto"/>
            <w:left w:val="none" w:sz="0" w:space="0" w:color="auto"/>
            <w:bottom w:val="none" w:sz="0" w:space="0" w:color="auto"/>
            <w:right w:val="none" w:sz="0" w:space="0" w:color="auto"/>
          </w:divBdr>
          <w:divsChild>
            <w:div w:id="839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90838026">
          <w:marLeft w:val="0"/>
          <w:marRight w:val="0"/>
          <w:marTop w:val="0"/>
          <w:marBottom w:val="0"/>
          <w:divBdr>
            <w:top w:val="none" w:sz="0" w:space="0" w:color="auto"/>
            <w:left w:val="none" w:sz="0" w:space="0" w:color="auto"/>
            <w:bottom w:val="none" w:sz="0" w:space="0" w:color="auto"/>
            <w:right w:val="none" w:sz="0" w:space="0" w:color="auto"/>
          </w:divBdr>
          <w:divsChild>
            <w:div w:id="1189759957">
              <w:marLeft w:val="0"/>
              <w:marRight w:val="0"/>
              <w:marTop w:val="0"/>
              <w:marBottom w:val="0"/>
              <w:divBdr>
                <w:top w:val="none" w:sz="0" w:space="0" w:color="auto"/>
                <w:left w:val="none" w:sz="0" w:space="0" w:color="auto"/>
                <w:bottom w:val="none" w:sz="0" w:space="0" w:color="auto"/>
                <w:right w:val="none" w:sz="0" w:space="0" w:color="auto"/>
              </w:divBdr>
              <w:divsChild>
                <w:div w:id="1161846035">
                  <w:marLeft w:val="0"/>
                  <w:marRight w:val="0"/>
                  <w:marTop w:val="0"/>
                  <w:marBottom w:val="0"/>
                  <w:divBdr>
                    <w:top w:val="none" w:sz="0" w:space="0" w:color="auto"/>
                    <w:left w:val="none" w:sz="0" w:space="0" w:color="auto"/>
                    <w:bottom w:val="none" w:sz="0" w:space="0" w:color="auto"/>
                    <w:right w:val="none" w:sz="0" w:space="0" w:color="auto"/>
                  </w:divBdr>
                </w:div>
              </w:divsChild>
            </w:div>
            <w:div w:id="861821502">
              <w:marLeft w:val="0"/>
              <w:marRight w:val="0"/>
              <w:marTop w:val="0"/>
              <w:marBottom w:val="0"/>
              <w:divBdr>
                <w:top w:val="none" w:sz="0" w:space="0" w:color="auto"/>
                <w:left w:val="none" w:sz="0" w:space="0" w:color="auto"/>
                <w:bottom w:val="none" w:sz="0" w:space="0" w:color="auto"/>
                <w:right w:val="none" w:sz="0" w:space="0" w:color="auto"/>
              </w:divBdr>
              <w:divsChild>
                <w:div w:id="1139344622">
                  <w:marLeft w:val="0"/>
                  <w:marRight w:val="0"/>
                  <w:marTop w:val="0"/>
                  <w:marBottom w:val="0"/>
                  <w:divBdr>
                    <w:top w:val="none" w:sz="0" w:space="0" w:color="auto"/>
                    <w:left w:val="none" w:sz="0" w:space="0" w:color="auto"/>
                    <w:bottom w:val="none" w:sz="0" w:space="0" w:color="auto"/>
                    <w:right w:val="none" w:sz="0" w:space="0" w:color="auto"/>
                  </w:divBdr>
                </w:div>
              </w:divsChild>
            </w:div>
            <w:div w:id="1753156341">
              <w:marLeft w:val="0"/>
              <w:marRight w:val="0"/>
              <w:marTop w:val="0"/>
              <w:marBottom w:val="0"/>
              <w:divBdr>
                <w:top w:val="none" w:sz="0" w:space="0" w:color="auto"/>
                <w:left w:val="none" w:sz="0" w:space="0" w:color="auto"/>
                <w:bottom w:val="none" w:sz="0" w:space="0" w:color="auto"/>
                <w:right w:val="none" w:sz="0" w:space="0" w:color="auto"/>
              </w:divBdr>
              <w:divsChild>
                <w:div w:id="683023041">
                  <w:marLeft w:val="0"/>
                  <w:marRight w:val="0"/>
                  <w:marTop w:val="0"/>
                  <w:marBottom w:val="0"/>
                  <w:divBdr>
                    <w:top w:val="none" w:sz="0" w:space="0" w:color="auto"/>
                    <w:left w:val="none" w:sz="0" w:space="0" w:color="auto"/>
                    <w:bottom w:val="none" w:sz="0" w:space="0" w:color="auto"/>
                    <w:right w:val="none" w:sz="0" w:space="0" w:color="auto"/>
                  </w:divBdr>
                </w:div>
              </w:divsChild>
            </w:div>
            <w:div w:id="1870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106">
      <w:bodyDiv w:val="1"/>
      <w:marLeft w:val="0"/>
      <w:marRight w:val="0"/>
      <w:marTop w:val="0"/>
      <w:marBottom w:val="0"/>
      <w:divBdr>
        <w:top w:val="none" w:sz="0" w:space="0" w:color="auto"/>
        <w:left w:val="none" w:sz="0" w:space="0" w:color="auto"/>
        <w:bottom w:val="none" w:sz="0" w:space="0" w:color="auto"/>
        <w:right w:val="none" w:sz="0" w:space="0" w:color="auto"/>
      </w:divBdr>
      <w:divsChild>
        <w:div w:id="971716269">
          <w:marLeft w:val="0"/>
          <w:marRight w:val="0"/>
          <w:marTop w:val="0"/>
          <w:marBottom w:val="0"/>
          <w:divBdr>
            <w:top w:val="none" w:sz="0" w:space="0" w:color="auto"/>
            <w:left w:val="none" w:sz="0" w:space="0" w:color="auto"/>
            <w:bottom w:val="none" w:sz="0" w:space="0" w:color="auto"/>
            <w:right w:val="none" w:sz="0" w:space="0" w:color="auto"/>
          </w:divBdr>
          <w:divsChild>
            <w:div w:id="1984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5536">
      <w:bodyDiv w:val="1"/>
      <w:marLeft w:val="0"/>
      <w:marRight w:val="0"/>
      <w:marTop w:val="0"/>
      <w:marBottom w:val="0"/>
      <w:divBdr>
        <w:top w:val="none" w:sz="0" w:space="0" w:color="auto"/>
        <w:left w:val="none" w:sz="0" w:space="0" w:color="auto"/>
        <w:bottom w:val="none" w:sz="0" w:space="0" w:color="auto"/>
        <w:right w:val="none" w:sz="0" w:space="0" w:color="auto"/>
      </w:divBdr>
      <w:divsChild>
        <w:div w:id="2118282089">
          <w:marLeft w:val="0"/>
          <w:marRight w:val="0"/>
          <w:marTop w:val="0"/>
          <w:marBottom w:val="0"/>
          <w:divBdr>
            <w:top w:val="none" w:sz="0" w:space="0" w:color="auto"/>
            <w:left w:val="none" w:sz="0" w:space="0" w:color="auto"/>
            <w:bottom w:val="none" w:sz="0" w:space="0" w:color="auto"/>
            <w:right w:val="none" w:sz="0" w:space="0" w:color="auto"/>
          </w:divBdr>
          <w:divsChild>
            <w:div w:id="1284848322">
              <w:marLeft w:val="0"/>
              <w:marRight w:val="0"/>
              <w:marTop w:val="0"/>
              <w:marBottom w:val="0"/>
              <w:divBdr>
                <w:top w:val="none" w:sz="0" w:space="0" w:color="auto"/>
                <w:left w:val="none" w:sz="0" w:space="0" w:color="auto"/>
                <w:bottom w:val="none" w:sz="0" w:space="0" w:color="auto"/>
                <w:right w:val="none" w:sz="0" w:space="0" w:color="auto"/>
              </w:divBdr>
            </w:div>
            <w:div w:id="1025448057">
              <w:marLeft w:val="0"/>
              <w:marRight w:val="0"/>
              <w:marTop w:val="0"/>
              <w:marBottom w:val="0"/>
              <w:divBdr>
                <w:top w:val="none" w:sz="0" w:space="0" w:color="auto"/>
                <w:left w:val="none" w:sz="0" w:space="0" w:color="auto"/>
                <w:bottom w:val="none" w:sz="0" w:space="0" w:color="auto"/>
                <w:right w:val="none" w:sz="0" w:space="0" w:color="auto"/>
              </w:divBdr>
              <w:divsChild>
                <w:div w:id="1098600318">
                  <w:marLeft w:val="0"/>
                  <w:marRight w:val="0"/>
                  <w:marTop w:val="0"/>
                  <w:marBottom w:val="0"/>
                  <w:divBdr>
                    <w:top w:val="none" w:sz="0" w:space="0" w:color="auto"/>
                    <w:left w:val="none" w:sz="0" w:space="0" w:color="auto"/>
                    <w:bottom w:val="none" w:sz="0" w:space="0" w:color="auto"/>
                    <w:right w:val="none" w:sz="0" w:space="0" w:color="auto"/>
                  </w:divBdr>
                  <w:divsChild>
                    <w:div w:id="802162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8724">
              <w:marLeft w:val="0"/>
              <w:marRight w:val="0"/>
              <w:marTop w:val="0"/>
              <w:marBottom w:val="0"/>
              <w:divBdr>
                <w:top w:val="none" w:sz="0" w:space="0" w:color="auto"/>
                <w:left w:val="none" w:sz="0" w:space="0" w:color="auto"/>
                <w:bottom w:val="none" w:sz="0" w:space="0" w:color="auto"/>
                <w:right w:val="none" w:sz="0" w:space="0" w:color="auto"/>
              </w:divBdr>
            </w:div>
            <w:div w:id="212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123">
      <w:bodyDiv w:val="1"/>
      <w:marLeft w:val="0"/>
      <w:marRight w:val="0"/>
      <w:marTop w:val="0"/>
      <w:marBottom w:val="0"/>
      <w:divBdr>
        <w:top w:val="none" w:sz="0" w:space="0" w:color="auto"/>
        <w:left w:val="none" w:sz="0" w:space="0" w:color="auto"/>
        <w:bottom w:val="none" w:sz="0" w:space="0" w:color="auto"/>
        <w:right w:val="none" w:sz="0" w:space="0" w:color="auto"/>
      </w:divBdr>
      <w:divsChild>
        <w:div w:id="1143229117">
          <w:marLeft w:val="0"/>
          <w:marRight w:val="0"/>
          <w:marTop w:val="0"/>
          <w:marBottom w:val="0"/>
          <w:divBdr>
            <w:top w:val="none" w:sz="0" w:space="0" w:color="auto"/>
            <w:left w:val="none" w:sz="0" w:space="0" w:color="auto"/>
            <w:bottom w:val="none" w:sz="0" w:space="0" w:color="auto"/>
            <w:right w:val="none" w:sz="0" w:space="0" w:color="auto"/>
          </w:divBdr>
          <w:divsChild>
            <w:div w:id="20691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366">
      <w:bodyDiv w:val="1"/>
      <w:marLeft w:val="0"/>
      <w:marRight w:val="0"/>
      <w:marTop w:val="0"/>
      <w:marBottom w:val="0"/>
      <w:divBdr>
        <w:top w:val="none" w:sz="0" w:space="0" w:color="auto"/>
        <w:left w:val="none" w:sz="0" w:space="0" w:color="auto"/>
        <w:bottom w:val="none" w:sz="0" w:space="0" w:color="auto"/>
        <w:right w:val="none" w:sz="0" w:space="0" w:color="auto"/>
      </w:divBdr>
      <w:divsChild>
        <w:div w:id="427039481">
          <w:marLeft w:val="0"/>
          <w:marRight w:val="0"/>
          <w:marTop w:val="0"/>
          <w:marBottom w:val="0"/>
          <w:divBdr>
            <w:top w:val="none" w:sz="0" w:space="0" w:color="auto"/>
            <w:left w:val="none" w:sz="0" w:space="0" w:color="auto"/>
            <w:bottom w:val="none" w:sz="0" w:space="0" w:color="auto"/>
            <w:right w:val="none" w:sz="0" w:space="0" w:color="auto"/>
          </w:divBdr>
          <w:divsChild>
            <w:div w:id="9494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6785">
      <w:bodyDiv w:val="1"/>
      <w:marLeft w:val="0"/>
      <w:marRight w:val="0"/>
      <w:marTop w:val="0"/>
      <w:marBottom w:val="0"/>
      <w:divBdr>
        <w:top w:val="none" w:sz="0" w:space="0" w:color="auto"/>
        <w:left w:val="none" w:sz="0" w:space="0" w:color="auto"/>
        <w:bottom w:val="none" w:sz="0" w:space="0" w:color="auto"/>
        <w:right w:val="none" w:sz="0" w:space="0" w:color="auto"/>
      </w:divBdr>
      <w:divsChild>
        <w:div w:id="1375614211">
          <w:marLeft w:val="0"/>
          <w:marRight w:val="0"/>
          <w:marTop w:val="0"/>
          <w:marBottom w:val="0"/>
          <w:divBdr>
            <w:top w:val="none" w:sz="0" w:space="0" w:color="auto"/>
            <w:left w:val="none" w:sz="0" w:space="0" w:color="auto"/>
            <w:bottom w:val="none" w:sz="0" w:space="0" w:color="auto"/>
            <w:right w:val="none" w:sz="0" w:space="0" w:color="auto"/>
          </w:divBdr>
          <w:divsChild>
            <w:div w:id="310451372">
              <w:marLeft w:val="0"/>
              <w:marRight w:val="0"/>
              <w:marTop w:val="0"/>
              <w:marBottom w:val="0"/>
              <w:divBdr>
                <w:top w:val="none" w:sz="0" w:space="0" w:color="auto"/>
                <w:left w:val="none" w:sz="0" w:space="0" w:color="auto"/>
                <w:bottom w:val="none" w:sz="0" w:space="0" w:color="auto"/>
                <w:right w:val="none" w:sz="0" w:space="0" w:color="auto"/>
              </w:divBdr>
              <w:divsChild>
                <w:div w:id="74087960">
                  <w:marLeft w:val="0"/>
                  <w:marRight w:val="0"/>
                  <w:marTop w:val="0"/>
                  <w:marBottom w:val="0"/>
                  <w:divBdr>
                    <w:top w:val="none" w:sz="0" w:space="0" w:color="auto"/>
                    <w:left w:val="none" w:sz="0" w:space="0" w:color="auto"/>
                    <w:bottom w:val="none" w:sz="0" w:space="0" w:color="auto"/>
                    <w:right w:val="none" w:sz="0" w:space="0" w:color="auto"/>
                  </w:divBdr>
                </w:div>
              </w:divsChild>
            </w:div>
            <w:div w:id="517349098">
              <w:marLeft w:val="0"/>
              <w:marRight w:val="0"/>
              <w:marTop w:val="0"/>
              <w:marBottom w:val="0"/>
              <w:divBdr>
                <w:top w:val="none" w:sz="0" w:space="0" w:color="auto"/>
                <w:left w:val="none" w:sz="0" w:space="0" w:color="auto"/>
                <w:bottom w:val="none" w:sz="0" w:space="0" w:color="auto"/>
                <w:right w:val="none" w:sz="0" w:space="0" w:color="auto"/>
              </w:divBdr>
              <w:divsChild>
                <w:div w:id="1922138055">
                  <w:marLeft w:val="0"/>
                  <w:marRight w:val="0"/>
                  <w:marTop w:val="0"/>
                  <w:marBottom w:val="0"/>
                  <w:divBdr>
                    <w:top w:val="none" w:sz="0" w:space="0" w:color="auto"/>
                    <w:left w:val="none" w:sz="0" w:space="0" w:color="auto"/>
                    <w:bottom w:val="none" w:sz="0" w:space="0" w:color="auto"/>
                    <w:right w:val="none" w:sz="0" w:space="0" w:color="auto"/>
                  </w:divBdr>
                </w:div>
              </w:divsChild>
            </w:div>
            <w:div w:id="617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7207">
      <w:bodyDiv w:val="1"/>
      <w:marLeft w:val="0"/>
      <w:marRight w:val="0"/>
      <w:marTop w:val="0"/>
      <w:marBottom w:val="0"/>
      <w:divBdr>
        <w:top w:val="none" w:sz="0" w:space="0" w:color="auto"/>
        <w:left w:val="none" w:sz="0" w:space="0" w:color="auto"/>
        <w:bottom w:val="none" w:sz="0" w:space="0" w:color="auto"/>
        <w:right w:val="none" w:sz="0" w:space="0" w:color="auto"/>
      </w:divBdr>
    </w:div>
    <w:div w:id="1339112696">
      <w:bodyDiv w:val="1"/>
      <w:marLeft w:val="0"/>
      <w:marRight w:val="0"/>
      <w:marTop w:val="0"/>
      <w:marBottom w:val="0"/>
      <w:divBdr>
        <w:top w:val="none" w:sz="0" w:space="0" w:color="auto"/>
        <w:left w:val="none" w:sz="0" w:space="0" w:color="auto"/>
        <w:bottom w:val="none" w:sz="0" w:space="0" w:color="auto"/>
        <w:right w:val="none" w:sz="0" w:space="0" w:color="auto"/>
      </w:divBdr>
      <w:divsChild>
        <w:div w:id="48576348">
          <w:marLeft w:val="0"/>
          <w:marRight w:val="0"/>
          <w:marTop w:val="0"/>
          <w:marBottom w:val="0"/>
          <w:divBdr>
            <w:top w:val="none" w:sz="0" w:space="0" w:color="auto"/>
            <w:left w:val="none" w:sz="0" w:space="0" w:color="auto"/>
            <w:bottom w:val="none" w:sz="0" w:space="0" w:color="auto"/>
            <w:right w:val="none" w:sz="0" w:space="0" w:color="auto"/>
          </w:divBdr>
          <w:divsChild>
            <w:div w:id="1314916194">
              <w:marLeft w:val="0"/>
              <w:marRight w:val="0"/>
              <w:marTop w:val="0"/>
              <w:marBottom w:val="0"/>
              <w:divBdr>
                <w:top w:val="none" w:sz="0" w:space="0" w:color="auto"/>
                <w:left w:val="none" w:sz="0" w:space="0" w:color="auto"/>
                <w:bottom w:val="none" w:sz="0" w:space="0" w:color="auto"/>
                <w:right w:val="none" w:sz="0" w:space="0" w:color="auto"/>
              </w:divBdr>
              <w:divsChild>
                <w:div w:id="1539126828">
                  <w:marLeft w:val="0"/>
                  <w:marRight w:val="0"/>
                  <w:marTop w:val="0"/>
                  <w:marBottom w:val="0"/>
                  <w:divBdr>
                    <w:top w:val="none" w:sz="0" w:space="0" w:color="auto"/>
                    <w:left w:val="none" w:sz="0" w:space="0" w:color="auto"/>
                    <w:bottom w:val="none" w:sz="0" w:space="0" w:color="auto"/>
                    <w:right w:val="none" w:sz="0" w:space="0" w:color="auto"/>
                  </w:divBdr>
                </w:div>
              </w:divsChild>
            </w:div>
            <w:div w:id="184632786">
              <w:marLeft w:val="0"/>
              <w:marRight w:val="0"/>
              <w:marTop w:val="0"/>
              <w:marBottom w:val="0"/>
              <w:divBdr>
                <w:top w:val="none" w:sz="0" w:space="0" w:color="auto"/>
                <w:left w:val="none" w:sz="0" w:space="0" w:color="auto"/>
                <w:bottom w:val="none" w:sz="0" w:space="0" w:color="auto"/>
                <w:right w:val="none" w:sz="0" w:space="0" w:color="auto"/>
              </w:divBdr>
              <w:divsChild>
                <w:div w:id="1002973364">
                  <w:marLeft w:val="0"/>
                  <w:marRight w:val="0"/>
                  <w:marTop w:val="0"/>
                  <w:marBottom w:val="0"/>
                  <w:divBdr>
                    <w:top w:val="none" w:sz="0" w:space="0" w:color="auto"/>
                    <w:left w:val="none" w:sz="0" w:space="0" w:color="auto"/>
                    <w:bottom w:val="none" w:sz="0" w:space="0" w:color="auto"/>
                    <w:right w:val="none" w:sz="0" w:space="0" w:color="auto"/>
                  </w:divBdr>
                </w:div>
              </w:divsChild>
            </w:div>
            <w:div w:id="8270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7537">
      <w:bodyDiv w:val="1"/>
      <w:marLeft w:val="0"/>
      <w:marRight w:val="0"/>
      <w:marTop w:val="0"/>
      <w:marBottom w:val="0"/>
      <w:divBdr>
        <w:top w:val="none" w:sz="0" w:space="0" w:color="auto"/>
        <w:left w:val="none" w:sz="0" w:space="0" w:color="auto"/>
        <w:bottom w:val="none" w:sz="0" w:space="0" w:color="auto"/>
        <w:right w:val="none" w:sz="0" w:space="0" w:color="auto"/>
      </w:divBdr>
      <w:divsChild>
        <w:div w:id="733967694">
          <w:marLeft w:val="0"/>
          <w:marRight w:val="0"/>
          <w:marTop w:val="0"/>
          <w:marBottom w:val="0"/>
          <w:divBdr>
            <w:top w:val="none" w:sz="0" w:space="0" w:color="auto"/>
            <w:left w:val="none" w:sz="0" w:space="0" w:color="auto"/>
            <w:bottom w:val="none" w:sz="0" w:space="0" w:color="auto"/>
            <w:right w:val="none" w:sz="0" w:space="0" w:color="auto"/>
          </w:divBdr>
          <w:divsChild>
            <w:div w:id="16048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0716">
      <w:bodyDiv w:val="1"/>
      <w:marLeft w:val="0"/>
      <w:marRight w:val="0"/>
      <w:marTop w:val="0"/>
      <w:marBottom w:val="0"/>
      <w:divBdr>
        <w:top w:val="none" w:sz="0" w:space="0" w:color="auto"/>
        <w:left w:val="none" w:sz="0" w:space="0" w:color="auto"/>
        <w:bottom w:val="none" w:sz="0" w:space="0" w:color="auto"/>
        <w:right w:val="none" w:sz="0" w:space="0" w:color="auto"/>
      </w:divBdr>
      <w:divsChild>
        <w:div w:id="1747801854">
          <w:marLeft w:val="0"/>
          <w:marRight w:val="0"/>
          <w:marTop w:val="0"/>
          <w:marBottom w:val="0"/>
          <w:divBdr>
            <w:top w:val="none" w:sz="0" w:space="0" w:color="auto"/>
            <w:left w:val="none" w:sz="0" w:space="0" w:color="auto"/>
            <w:bottom w:val="none" w:sz="0" w:space="0" w:color="auto"/>
            <w:right w:val="none" w:sz="0" w:space="0" w:color="auto"/>
          </w:divBdr>
          <w:divsChild>
            <w:div w:id="1150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669">
      <w:bodyDiv w:val="1"/>
      <w:marLeft w:val="0"/>
      <w:marRight w:val="0"/>
      <w:marTop w:val="0"/>
      <w:marBottom w:val="0"/>
      <w:divBdr>
        <w:top w:val="none" w:sz="0" w:space="0" w:color="auto"/>
        <w:left w:val="none" w:sz="0" w:space="0" w:color="auto"/>
        <w:bottom w:val="none" w:sz="0" w:space="0" w:color="auto"/>
        <w:right w:val="none" w:sz="0" w:space="0" w:color="auto"/>
      </w:divBdr>
      <w:divsChild>
        <w:div w:id="430904751">
          <w:marLeft w:val="0"/>
          <w:marRight w:val="0"/>
          <w:marTop w:val="0"/>
          <w:marBottom w:val="0"/>
          <w:divBdr>
            <w:top w:val="none" w:sz="0" w:space="0" w:color="auto"/>
            <w:left w:val="none" w:sz="0" w:space="0" w:color="auto"/>
            <w:bottom w:val="none" w:sz="0" w:space="0" w:color="auto"/>
            <w:right w:val="none" w:sz="0" w:space="0" w:color="auto"/>
          </w:divBdr>
          <w:divsChild>
            <w:div w:id="12104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7167">
      <w:bodyDiv w:val="1"/>
      <w:marLeft w:val="0"/>
      <w:marRight w:val="0"/>
      <w:marTop w:val="0"/>
      <w:marBottom w:val="0"/>
      <w:divBdr>
        <w:top w:val="none" w:sz="0" w:space="0" w:color="auto"/>
        <w:left w:val="none" w:sz="0" w:space="0" w:color="auto"/>
        <w:bottom w:val="none" w:sz="0" w:space="0" w:color="auto"/>
        <w:right w:val="none" w:sz="0" w:space="0" w:color="auto"/>
      </w:divBdr>
      <w:divsChild>
        <w:div w:id="951745390">
          <w:marLeft w:val="0"/>
          <w:marRight w:val="0"/>
          <w:marTop w:val="0"/>
          <w:marBottom w:val="0"/>
          <w:divBdr>
            <w:top w:val="none" w:sz="0" w:space="0" w:color="auto"/>
            <w:left w:val="none" w:sz="0" w:space="0" w:color="auto"/>
            <w:bottom w:val="none" w:sz="0" w:space="0" w:color="auto"/>
            <w:right w:val="none" w:sz="0" w:space="0" w:color="auto"/>
          </w:divBdr>
          <w:divsChild>
            <w:div w:id="214321273">
              <w:marLeft w:val="0"/>
              <w:marRight w:val="0"/>
              <w:marTop w:val="0"/>
              <w:marBottom w:val="0"/>
              <w:divBdr>
                <w:top w:val="none" w:sz="0" w:space="0" w:color="auto"/>
                <w:left w:val="none" w:sz="0" w:space="0" w:color="auto"/>
                <w:bottom w:val="none" w:sz="0" w:space="0" w:color="auto"/>
                <w:right w:val="none" w:sz="0" w:space="0" w:color="auto"/>
              </w:divBdr>
              <w:divsChild>
                <w:div w:id="2120753795">
                  <w:marLeft w:val="0"/>
                  <w:marRight w:val="0"/>
                  <w:marTop w:val="0"/>
                  <w:marBottom w:val="0"/>
                  <w:divBdr>
                    <w:top w:val="none" w:sz="0" w:space="0" w:color="auto"/>
                    <w:left w:val="none" w:sz="0" w:space="0" w:color="auto"/>
                    <w:bottom w:val="none" w:sz="0" w:space="0" w:color="auto"/>
                    <w:right w:val="none" w:sz="0" w:space="0" w:color="auto"/>
                  </w:divBdr>
                </w:div>
              </w:divsChild>
            </w:div>
            <w:div w:id="564726929">
              <w:marLeft w:val="0"/>
              <w:marRight w:val="0"/>
              <w:marTop w:val="0"/>
              <w:marBottom w:val="0"/>
              <w:divBdr>
                <w:top w:val="none" w:sz="0" w:space="0" w:color="auto"/>
                <w:left w:val="none" w:sz="0" w:space="0" w:color="auto"/>
                <w:bottom w:val="none" w:sz="0" w:space="0" w:color="auto"/>
                <w:right w:val="none" w:sz="0" w:space="0" w:color="auto"/>
              </w:divBdr>
              <w:divsChild>
                <w:div w:id="1881355589">
                  <w:marLeft w:val="0"/>
                  <w:marRight w:val="0"/>
                  <w:marTop w:val="0"/>
                  <w:marBottom w:val="0"/>
                  <w:divBdr>
                    <w:top w:val="none" w:sz="0" w:space="0" w:color="auto"/>
                    <w:left w:val="none" w:sz="0" w:space="0" w:color="auto"/>
                    <w:bottom w:val="none" w:sz="0" w:space="0" w:color="auto"/>
                    <w:right w:val="none" w:sz="0" w:space="0" w:color="auto"/>
                  </w:divBdr>
                </w:div>
              </w:divsChild>
            </w:div>
            <w:div w:id="5740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8028">
      <w:bodyDiv w:val="1"/>
      <w:marLeft w:val="0"/>
      <w:marRight w:val="0"/>
      <w:marTop w:val="0"/>
      <w:marBottom w:val="0"/>
      <w:divBdr>
        <w:top w:val="none" w:sz="0" w:space="0" w:color="auto"/>
        <w:left w:val="none" w:sz="0" w:space="0" w:color="auto"/>
        <w:bottom w:val="none" w:sz="0" w:space="0" w:color="auto"/>
        <w:right w:val="none" w:sz="0" w:space="0" w:color="auto"/>
      </w:divBdr>
      <w:divsChild>
        <w:div w:id="273633692">
          <w:marLeft w:val="0"/>
          <w:marRight w:val="0"/>
          <w:marTop w:val="0"/>
          <w:marBottom w:val="0"/>
          <w:divBdr>
            <w:top w:val="none" w:sz="0" w:space="0" w:color="auto"/>
            <w:left w:val="none" w:sz="0" w:space="0" w:color="auto"/>
            <w:bottom w:val="none" w:sz="0" w:space="0" w:color="auto"/>
            <w:right w:val="none" w:sz="0" w:space="0" w:color="auto"/>
          </w:divBdr>
          <w:divsChild>
            <w:div w:id="19765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6958">
      <w:bodyDiv w:val="1"/>
      <w:marLeft w:val="0"/>
      <w:marRight w:val="0"/>
      <w:marTop w:val="0"/>
      <w:marBottom w:val="0"/>
      <w:divBdr>
        <w:top w:val="none" w:sz="0" w:space="0" w:color="auto"/>
        <w:left w:val="none" w:sz="0" w:space="0" w:color="auto"/>
        <w:bottom w:val="none" w:sz="0" w:space="0" w:color="auto"/>
        <w:right w:val="none" w:sz="0" w:space="0" w:color="auto"/>
      </w:divBdr>
      <w:divsChild>
        <w:div w:id="1489636385">
          <w:marLeft w:val="0"/>
          <w:marRight w:val="0"/>
          <w:marTop w:val="0"/>
          <w:marBottom w:val="0"/>
          <w:divBdr>
            <w:top w:val="none" w:sz="0" w:space="0" w:color="auto"/>
            <w:left w:val="none" w:sz="0" w:space="0" w:color="auto"/>
            <w:bottom w:val="none" w:sz="0" w:space="0" w:color="auto"/>
            <w:right w:val="none" w:sz="0" w:space="0" w:color="auto"/>
          </w:divBdr>
          <w:divsChild>
            <w:div w:id="192613743">
              <w:marLeft w:val="0"/>
              <w:marRight w:val="0"/>
              <w:marTop w:val="0"/>
              <w:marBottom w:val="0"/>
              <w:divBdr>
                <w:top w:val="none" w:sz="0" w:space="0" w:color="auto"/>
                <w:left w:val="none" w:sz="0" w:space="0" w:color="auto"/>
                <w:bottom w:val="none" w:sz="0" w:space="0" w:color="auto"/>
                <w:right w:val="none" w:sz="0" w:space="0" w:color="auto"/>
              </w:divBdr>
              <w:divsChild>
                <w:div w:id="540094027">
                  <w:marLeft w:val="0"/>
                  <w:marRight w:val="0"/>
                  <w:marTop w:val="0"/>
                  <w:marBottom w:val="0"/>
                  <w:divBdr>
                    <w:top w:val="none" w:sz="0" w:space="0" w:color="auto"/>
                    <w:left w:val="none" w:sz="0" w:space="0" w:color="auto"/>
                    <w:bottom w:val="none" w:sz="0" w:space="0" w:color="auto"/>
                    <w:right w:val="none" w:sz="0" w:space="0" w:color="auto"/>
                  </w:divBdr>
                </w:div>
              </w:divsChild>
            </w:div>
            <w:div w:id="996610543">
              <w:marLeft w:val="0"/>
              <w:marRight w:val="0"/>
              <w:marTop w:val="0"/>
              <w:marBottom w:val="0"/>
              <w:divBdr>
                <w:top w:val="none" w:sz="0" w:space="0" w:color="auto"/>
                <w:left w:val="none" w:sz="0" w:space="0" w:color="auto"/>
                <w:bottom w:val="none" w:sz="0" w:space="0" w:color="auto"/>
                <w:right w:val="none" w:sz="0" w:space="0" w:color="auto"/>
              </w:divBdr>
              <w:divsChild>
                <w:div w:id="1966039642">
                  <w:marLeft w:val="0"/>
                  <w:marRight w:val="0"/>
                  <w:marTop w:val="0"/>
                  <w:marBottom w:val="0"/>
                  <w:divBdr>
                    <w:top w:val="none" w:sz="0" w:space="0" w:color="auto"/>
                    <w:left w:val="none" w:sz="0" w:space="0" w:color="auto"/>
                    <w:bottom w:val="none" w:sz="0" w:space="0" w:color="auto"/>
                    <w:right w:val="none" w:sz="0" w:space="0" w:color="auto"/>
                  </w:divBdr>
                </w:div>
              </w:divsChild>
            </w:div>
            <w:div w:id="1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2237">
      <w:bodyDiv w:val="1"/>
      <w:marLeft w:val="0"/>
      <w:marRight w:val="0"/>
      <w:marTop w:val="0"/>
      <w:marBottom w:val="0"/>
      <w:divBdr>
        <w:top w:val="none" w:sz="0" w:space="0" w:color="auto"/>
        <w:left w:val="none" w:sz="0" w:space="0" w:color="auto"/>
        <w:bottom w:val="none" w:sz="0" w:space="0" w:color="auto"/>
        <w:right w:val="none" w:sz="0" w:space="0" w:color="auto"/>
      </w:divBdr>
      <w:divsChild>
        <w:div w:id="1876576584">
          <w:marLeft w:val="0"/>
          <w:marRight w:val="0"/>
          <w:marTop w:val="0"/>
          <w:marBottom w:val="0"/>
          <w:divBdr>
            <w:top w:val="none" w:sz="0" w:space="0" w:color="auto"/>
            <w:left w:val="none" w:sz="0" w:space="0" w:color="auto"/>
            <w:bottom w:val="none" w:sz="0" w:space="0" w:color="auto"/>
            <w:right w:val="none" w:sz="0" w:space="0" w:color="auto"/>
          </w:divBdr>
          <w:divsChild>
            <w:div w:id="18555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838">
      <w:bodyDiv w:val="1"/>
      <w:marLeft w:val="0"/>
      <w:marRight w:val="0"/>
      <w:marTop w:val="0"/>
      <w:marBottom w:val="0"/>
      <w:divBdr>
        <w:top w:val="none" w:sz="0" w:space="0" w:color="auto"/>
        <w:left w:val="none" w:sz="0" w:space="0" w:color="auto"/>
        <w:bottom w:val="none" w:sz="0" w:space="0" w:color="auto"/>
        <w:right w:val="none" w:sz="0" w:space="0" w:color="auto"/>
      </w:divBdr>
      <w:divsChild>
        <w:div w:id="391193749">
          <w:marLeft w:val="0"/>
          <w:marRight w:val="0"/>
          <w:marTop w:val="0"/>
          <w:marBottom w:val="0"/>
          <w:divBdr>
            <w:top w:val="none" w:sz="0" w:space="0" w:color="auto"/>
            <w:left w:val="none" w:sz="0" w:space="0" w:color="auto"/>
            <w:bottom w:val="none" w:sz="0" w:space="0" w:color="auto"/>
            <w:right w:val="none" w:sz="0" w:space="0" w:color="auto"/>
          </w:divBdr>
          <w:divsChild>
            <w:div w:id="17394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136">
      <w:bodyDiv w:val="1"/>
      <w:marLeft w:val="0"/>
      <w:marRight w:val="0"/>
      <w:marTop w:val="0"/>
      <w:marBottom w:val="0"/>
      <w:divBdr>
        <w:top w:val="none" w:sz="0" w:space="0" w:color="auto"/>
        <w:left w:val="none" w:sz="0" w:space="0" w:color="auto"/>
        <w:bottom w:val="none" w:sz="0" w:space="0" w:color="auto"/>
        <w:right w:val="none" w:sz="0" w:space="0" w:color="auto"/>
      </w:divBdr>
      <w:divsChild>
        <w:div w:id="1740203698">
          <w:marLeft w:val="0"/>
          <w:marRight w:val="0"/>
          <w:marTop w:val="0"/>
          <w:marBottom w:val="0"/>
          <w:divBdr>
            <w:top w:val="none" w:sz="0" w:space="0" w:color="auto"/>
            <w:left w:val="none" w:sz="0" w:space="0" w:color="auto"/>
            <w:bottom w:val="none" w:sz="0" w:space="0" w:color="auto"/>
            <w:right w:val="none" w:sz="0" w:space="0" w:color="auto"/>
          </w:divBdr>
          <w:divsChild>
            <w:div w:id="17215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1020">
      <w:bodyDiv w:val="1"/>
      <w:marLeft w:val="0"/>
      <w:marRight w:val="0"/>
      <w:marTop w:val="0"/>
      <w:marBottom w:val="0"/>
      <w:divBdr>
        <w:top w:val="none" w:sz="0" w:space="0" w:color="auto"/>
        <w:left w:val="none" w:sz="0" w:space="0" w:color="auto"/>
        <w:bottom w:val="none" w:sz="0" w:space="0" w:color="auto"/>
        <w:right w:val="none" w:sz="0" w:space="0" w:color="auto"/>
      </w:divBdr>
    </w:div>
    <w:div w:id="1965192246">
      <w:bodyDiv w:val="1"/>
      <w:marLeft w:val="0"/>
      <w:marRight w:val="0"/>
      <w:marTop w:val="0"/>
      <w:marBottom w:val="0"/>
      <w:divBdr>
        <w:top w:val="none" w:sz="0" w:space="0" w:color="auto"/>
        <w:left w:val="none" w:sz="0" w:space="0" w:color="auto"/>
        <w:bottom w:val="none" w:sz="0" w:space="0" w:color="auto"/>
        <w:right w:val="none" w:sz="0" w:space="0" w:color="auto"/>
      </w:divBdr>
      <w:divsChild>
        <w:div w:id="117530794">
          <w:marLeft w:val="0"/>
          <w:marRight w:val="0"/>
          <w:marTop w:val="0"/>
          <w:marBottom w:val="0"/>
          <w:divBdr>
            <w:top w:val="none" w:sz="0" w:space="0" w:color="auto"/>
            <w:left w:val="none" w:sz="0" w:space="0" w:color="auto"/>
            <w:bottom w:val="none" w:sz="0" w:space="0" w:color="auto"/>
            <w:right w:val="none" w:sz="0" w:space="0" w:color="auto"/>
          </w:divBdr>
          <w:divsChild>
            <w:div w:id="18929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3200">
      <w:bodyDiv w:val="1"/>
      <w:marLeft w:val="0"/>
      <w:marRight w:val="0"/>
      <w:marTop w:val="0"/>
      <w:marBottom w:val="0"/>
      <w:divBdr>
        <w:top w:val="none" w:sz="0" w:space="0" w:color="auto"/>
        <w:left w:val="none" w:sz="0" w:space="0" w:color="auto"/>
        <w:bottom w:val="none" w:sz="0" w:space="0" w:color="auto"/>
        <w:right w:val="none" w:sz="0" w:space="0" w:color="auto"/>
      </w:divBdr>
      <w:divsChild>
        <w:div w:id="869299588">
          <w:marLeft w:val="0"/>
          <w:marRight w:val="0"/>
          <w:marTop w:val="0"/>
          <w:marBottom w:val="0"/>
          <w:divBdr>
            <w:top w:val="none" w:sz="0" w:space="0" w:color="auto"/>
            <w:left w:val="none" w:sz="0" w:space="0" w:color="auto"/>
            <w:bottom w:val="none" w:sz="0" w:space="0" w:color="auto"/>
            <w:right w:val="none" w:sz="0" w:space="0" w:color="auto"/>
          </w:divBdr>
          <w:divsChild>
            <w:div w:id="3288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51A1-D2F9-4CD2-987E-3B405241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Fox Rothschild LLP</Company>
  <LinksUpToDate>false</LinksUpToDate>
  <CharactersWithSpaces>40174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Daroci, Steven J.</dc:creator>
  <cp:lastModifiedBy>Ankit Kripalani</cp:lastModifiedBy>
  <cp:revision>2</cp:revision>
  <dcterms:created xsi:type="dcterms:W3CDTF">2016-11-21T13:55:00Z</dcterms:created>
  <dcterms:modified xsi:type="dcterms:W3CDTF">2016-11-21T13:55:00Z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ACTIVE\42681680.v2-11/20/16</vt:lpwstr>
  </property>
  <property fmtid="{D5CDD505-2E9C-101B-9397-08002B2CF9AE}" pid="3" name="CUS_DocIDChunk0">
    <vt:lpwstr>ACTIVE\42681680.v2-11/20/16</vt:lpwstr>
  </property>
  <property fmtid="{D5CDD505-2E9C-101B-9397-08002B2CF9AE}" pid="4" name="CUS_DocIDActiveBits">
    <vt:lpwstr>653312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DocID">
    <vt:lpwstr>ACTIVE 43348095v1</vt:lpwstr>
  </property>
</Properties>
</file>